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8CFFC" w14:textId="21C3FEDD" w:rsidR="00F162DE" w:rsidRPr="00BD6BF1" w:rsidRDefault="00F162DE" w:rsidP="00F162DE">
      <w:pPr>
        <w:keepNext/>
        <w:keepLines/>
        <w:spacing w:before="40" w:after="0"/>
        <w:jc w:val="center"/>
        <w:outlineLvl w:val="2"/>
        <w:rPr>
          <w:rFonts w:ascii="IBM Plex Sans Light" w:eastAsia="Times New Roman" w:hAnsi="IBM Plex Sans Light" w:cs="Times New Roman"/>
          <w:b/>
          <w:bCs/>
          <w:color w:val="153047"/>
          <w:sz w:val="24"/>
          <w:szCs w:val="24"/>
        </w:rPr>
      </w:pPr>
      <w:r w:rsidRPr="00BD6BF1">
        <w:rPr>
          <w:rFonts w:ascii="IBM Plex Sans Light" w:eastAsia="Times New Roman" w:hAnsi="IBM Plex Sans Light" w:cs="Times New Roman"/>
          <w:b/>
          <w:bCs/>
          <w:color w:val="153047"/>
          <w:sz w:val="24"/>
          <w:szCs w:val="24"/>
        </w:rPr>
        <w:t xml:space="preserve">LETTRE </w:t>
      </w:r>
      <w:r w:rsidR="00B73955">
        <w:rPr>
          <w:rFonts w:ascii="IBM Plex Sans Light" w:eastAsia="Times New Roman" w:hAnsi="IBM Plex Sans Light" w:cs="Times New Roman"/>
          <w:b/>
          <w:bCs/>
          <w:color w:val="153047"/>
          <w:sz w:val="24"/>
          <w:szCs w:val="24"/>
        </w:rPr>
        <w:t>–</w:t>
      </w:r>
      <w:r w:rsidRPr="00BD6BF1">
        <w:rPr>
          <w:rFonts w:ascii="IBM Plex Sans Light" w:eastAsia="Times New Roman" w:hAnsi="IBM Plex Sans Light" w:cs="Times New Roman"/>
          <w:b/>
          <w:bCs/>
          <w:color w:val="153047"/>
          <w:sz w:val="24"/>
          <w:szCs w:val="24"/>
        </w:rPr>
        <w:t xml:space="preserve"> </w:t>
      </w:r>
      <w:r w:rsidR="00B73955">
        <w:rPr>
          <w:rFonts w:ascii="IBM Plex Sans Light" w:eastAsia="Times New Roman" w:hAnsi="IBM Plex Sans Light" w:cs="Times New Roman"/>
          <w:b/>
          <w:bCs/>
          <w:color w:val="153047"/>
          <w:sz w:val="24"/>
          <w:szCs w:val="24"/>
        </w:rPr>
        <w:t>clause indemnitaire contraire au Livre XIX</w:t>
      </w:r>
      <w:r w:rsidRPr="00BD6BF1">
        <w:rPr>
          <w:rFonts w:ascii="IBM Plex Sans Light" w:eastAsia="Times New Roman" w:hAnsi="IBM Plex Sans Light" w:cs="Times New Roman"/>
          <w:b/>
          <w:bCs/>
          <w:color w:val="153047"/>
          <w:sz w:val="24"/>
          <w:szCs w:val="24"/>
        </w:rPr>
        <w:t xml:space="preserve">– </w:t>
      </w:r>
      <w:r w:rsidRPr="00BD6BF1">
        <w:rPr>
          <w:rFonts w:ascii="IBM Plex Sans Light" w:eastAsia="Times New Roman" w:hAnsi="IBM Plex Sans Light" w:cs="Times New Roman"/>
          <w:b/>
          <w:bCs/>
          <w:color w:val="153047"/>
          <w:sz w:val="24"/>
          <w:szCs w:val="24"/>
          <w:highlight w:val="darkCyan"/>
        </w:rPr>
        <w:t>les notes surlignées sont à compléter</w:t>
      </w:r>
    </w:p>
    <w:p w14:paraId="05BFC8BF" w14:textId="77777777" w:rsidR="00F162DE" w:rsidRPr="00BD6BF1" w:rsidRDefault="00F162DE" w:rsidP="00F162DE">
      <w:pPr>
        <w:rPr>
          <w:rFonts w:ascii="IBM Plex Sans Light" w:eastAsia="Fira Sans" w:hAnsi="IBM Plex Sans Light" w:cs="Times New Roman"/>
        </w:rPr>
      </w:pPr>
    </w:p>
    <w:p w14:paraId="298504D4" w14:textId="77777777" w:rsidR="00F162DE" w:rsidRPr="00BD6BF1" w:rsidRDefault="00F162DE" w:rsidP="00F162DE">
      <w:pPr>
        <w:rPr>
          <w:rFonts w:ascii="IBM Plex Sans Light" w:eastAsia="Fira Sans" w:hAnsi="IBM Plex Sans Light" w:cs="Times New Roman"/>
        </w:rPr>
      </w:pPr>
      <w:r w:rsidRPr="00BD6BF1">
        <w:rPr>
          <w:rFonts w:ascii="IBM Plex Sans Light" w:eastAsia="Fira Sans" w:hAnsi="IBM Plex Sans Light" w:cs="Times New Roman"/>
          <w:highlight w:val="darkCyan"/>
        </w:rPr>
        <w:t>Coordonnées de l’expéditeur</w:t>
      </w:r>
    </w:p>
    <w:p w14:paraId="6F1710C1" w14:textId="77777777" w:rsidR="00F162DE" w:rsidRPr="00BD6BF1" w:rsidRDefault="00F162DE" w:rsidP="00F162DE">
      <w:pPr>
        <w:rPr>
          <w:rFonts w:ascii="IBM Plex Sans Light" w:eastAsia="Fira Sans" w:hAnsi="IBM Plex Sans Light" w:cs="Times New Roman"/>
        </w:rPr>
      </w:pPr>
    </w:p>
    <w:p w14:paraId="7A89ABF0" w14:textId="38764908" w:rsidR="00F162DE" w:rsidRPr="00BD6BF1" w:rsidRDefault="00F162DE" w:rsidP="00073FDD">
      <w:pPr>
        <w:jc w:val="right"/>
        <w:rPr>
          <w:rFonts w:ascii="IBM Plex Sans Light" w:eastAsia="Fira Sans" w:hAnsi="IBM Plex Sans Light" w:cs="Times New Roman"/>
        </w:rPr>
      </w:pPr>
      <w:r w:rsidRPr="00BD6BF1">
        <w:rPr>
          <w:rFonts w:ascii="IBM Plex Sans Light" w:eastAsia="Fira Sans" w:hAnsi="IBM Plex Sans Light" w:cs="Times New Roman"/>
        </w:rPr>
        <w:tab/>
      </w:r>
      <w:r w:rsidRPr="00BD6BF1">
        <w:rPr>
          <w:rFonts w:ascii="IBM Plex Sans Light" w:eastAsia="Fira Sans" w:hAnsi="IBM Plex Sans Light" w:cs="Times New Roman"/>
        </w:rPr>
        <w:tab/>
      </w:r>
      <w:r w:rsidRPr="00BD6BF1">
        <w:rPr>
          <w:rFonts w:ascii="IBM Plex Sans Light" w:eastAsia="Fira Sans" w:hAnsi="IBM Plex Sans Light" w:cs="Times New Roman"/>
        </w:rPr>
        <w:tab/>
      </w:r>
      <w:r w:rsidRPr="00BD6BF1">
        <w:rPr>
          <w:rFonts w:ascii="IBM Plex Sans Light" w:eastAsia="Fira Sans" w:hAnsi="IBM Plex Sans Light" w:cs="Times New Roman"/>
        </w:rPr>
        <w:tab/>
      </w:r>
      <w:r w:rsidRPr="00BD6BF1">
        <w:rPr>
          <w:rFonts w:ascii="IBM Plex Sans Light" w:eastAsia="Fira Sans" w:hAnsi="IBM Plex Sans Light" w:cs="Times New Roman"/>
        </w:rPr>
        <w:tab/>
      </w:r>
      <w:r w:rsidRPr="00BD6BF1">
        <w:rPr>
          <w:rFonts w:ascii="IBM Plex Sans Light" w:eastAsia="Fira Sans" w:hAnsi="IBM Plex Sans Light" w:cs="Times New Roman"/>
          <w:highlight w:val="darkCyan"/>
        </w:rPr>
        <w:t>Coordonnées du destinataire</w:t>
      </w:r>
    </w:p>
    <w:p w14:paraId="0E9615F2" w14:textId="77777777" w:rsidR="00F162DE" w:rsidRPr="00BD6BF1" w:rsidRDefault="00F162DE" w:rsidP="00F162DE">
      <w:pPr>
        <w:jc w:val="right"/>
        <w:rPr>
          <w:rFonts w:ascii="IBM Plex Sans Light" w:eastAsia="Fira Sans" w:hAnsi="IBM Plex Sans Light" w:cs="Times New Roman"/>
        </w:rPr>
      </w:pPr>
      <w:r w:rsidRPr="00BD6BF1">
        <w:rPr>
          <w:rFonts w:ascii="IBM Plex Sans Light" w:eastAsia="Fira Sans" w:hAnsi="IBM Plex Sans Light" w:cs="Times New Roman"/>
        </w:rPr>
        <w:t xml:space="preserve">Bruxelles, le </w:t>
      </w:r>
      <w:r w:rsidRPr="00BD6BF1">
        <w:rPr>
          <w:rFonts w:ascii="IBM Plex Sans Light" w:eastAsia="Fira Sans" w:hAnsi="IBM Plex Sans Light" w:cs="Times New Roman"/>
          <w:highlight w:val="darkCyan"/>
        </w:rPr>
        <w:t>XXX</w:t>
      </w:r>
    </w:p>
    <w:p w14:paraId="2ED48CDA" w14:textId="77777777" w:rsidR="00F162DE" w:rsidRPr="00BD6BF1" w:rsidRDefault="00F162DE" w:rsidP="00F162DE">
      <w:pPr>
        <w:rPr>
          <w:rFonts w:ascii="IBM Plex Sans Light" w:eastAsia="Fira Sans" w:hAnsi="IBM Plex Sans Light" w:cs="Times New Roman"/>
          <w:b/>
          <w:sz w:val="24"/>
          <w:szCs w:val="24"/>
          <w:u w:val="single"/>
        </w:rPr>
      </w:pPr>
      <w:r w:rsidRPr="00BD6BF1">
        <w:rPr>
          <w:rFonts w:ascii="IBM Plex Sans Light" w:eastAsia="Fira Sans" w:hAnsi="IBM Plex Sans Light" w:cs="Times New Roman"/>
          <w:b/>
          <w:sz w:val="24"/>
          <w:szCs w:val="24"/>
          <w:u w:val="single"/>
        </w:rPr>
        <w:t xml:space="preserve">Dossier n° </w:t>
      </w:r>
      <w:r w:rsidRPr="00BD6BF1">
        <w:rPr>
          <w:rFonts w:ascii="IBM Plex Sans Light" w:eastAsia="Fira Sans" w:hAnsi="IBM Plex Sans Light" w:cs="Times New Roman"/>
          <w:b/>
          <w:sz w:val="24"/>
          <w:szCs w:val="24"/>
          <w:highlight w:val="darkCyan"/>
          <w:u w:val="single"/>
        </w:rPr>
        <w:t>XXX</w:t>
      </w:r>
    </w:p>
    <w:p w14:paraId="2B2C59EB" w14:textId="77777777" w:rsidR="00F162DE" w:rsidRPr="00BD6BF1" w:rsidRDefault="00F162DE" w:rsidP="00F162DE">
      <w:pPr>
        <w:jc w:val="both"/>
        <w:rPr>
          <w:rFonts w:ascii="IBM Plex Sans Light" w:eastAsia="Fira Sans" w:hAnsi="IBM Plex Sans Light" w:cs="Times New Roman"/>
        </w:rPr>
      </w:pPr>
      <w:r w:rsidRPr="00BD6BF1">
        <w:rPr>
          <w:rFonts w:ascii="IBM Plex Sans Light" w:eastAsia="Fira Sans" w:hAnsi="IBM Plex Sans Light" w:cs="Times New Roman"/>
        </w:rPr>
        <w:t>Madame, Monsieur, Maître,</w:t>
      </w:r>
    </w:p>
    <w:p w14:paraId="5F82543A" w14:textId="77777777" w:rsidR="00F162DE" w:rsidRPr="00BD6BF1" w:rsidRDefault="00F162DE" w:rsidP="00F162DE">
      <w:pPr>
        <w:jc w:val="both"/>
        <w:rPr>
          <w:rFonts w:ascii="IBM Plex Sans Light" w:eastAsia="Fira Sans" w:hAnsi="IBM Plex Sans Light" w:cs="Times New Roman"/>
        </w:rPr>
      </w:pPr>
      <w:r w:rsidRPr="00BD6BF1">
        <w:rPr>
          <w:rFonts w:ascii="IBM Plex Sans Light" w:eastAsia="Fira Sans" w:hAnsi="IBM Plex Sans Light" w:cs="Times New Roman"/>
        </w:rPr>
        <w:t>Nous vous adressons la présente dans le cadre du dossier dont les références sont reprises sous rubrique.</w:t>
      </w:r>
    </w:p>
    <w:p w14:paraId="34CA8157" w14:textId="77777777" w:rsidR="00B42A14" w:rsidRDefault="00F162DE" w:rsidP="00F162DE">
      <w:pPr>
        <w:jc w:val="both"/>
        <w:rPr>
          <w:rFonts w:ascii="IBM Plex Sans Light" w:eastAsia="Fira Sans" w:hAnsi="IBM Plex Sans Light" w:cs="Times New Roman"/>
        </w:rPr>
      </w:pPr>
      <w:r w:rsidRPr="00BD6BF1">
        <w:rPr>
          <w:rFonts w:ascii="IBM Plex Sans Light" w:eastAsia="Fira Sans" w:hAnsi="IBM Plex Sans Light" w:cs="Times New Roman"/>
        </w:rPr>
        <w:t xml:space="preserve">Dans votre décompte du </w:t>
      </w:r>
      <w:r w:rsidRPr="00BD6BF1">
        <w:rPr>
          <w:rFonts w:ascii="IBM Plex Sans Light" w:eastAsia="Fira Sans" w:hAnsi="IBM Plex Sans Light" w:cs="Times New Roman"/>
          <w:highlight w:val="darkCyan"/>
        </w:rPr>
        <w:t>XXX</w:t>
      </w:r>
      <w:r w:rsidRPr="00BD6BF1">
        <w:rPr>
          <w:rFonts w:ascii="IBM Plex Sans Light" w:eastAsia="Fira Sans" w:hAnsi="IBM Plex Sans Light" w:cs="Times New Roman"/>
        </w:rPr>
        <w:t xml:space="preserve">, vous réclamez la somme de </w:t>
      </w:r>
      <w:r w:rsidRPr="00BD6BF1">
        <w:rPr>
          <w:rFonts w:ascii="IBM Plex Sans Light" w:eastAsia="Fira Sans" w:hAnsi="IBM Plex Sans Light" w:cs="Times New Roman"/>
          <w:highlight w:val="darkCyan"/>
        </w:rPr>
        <w:t>XXX</w:t>
      </w:r>
      <w:r w:rsidRPr="00BD6BF1">
        <w:rPr>
          <w:rFonts w:ascii="IBM Plex Sans Light" w:eastAsia="Fira Sans" w:hAnsi="IBM Plex Sans Light" w:cs="Times New Roman"/>
        </w:rPr>
        <w:t xml:space="preserve"> à titre </w:t>
      </w:r>
      <w:r>
        <w:rPr>
          <w:rFonts w:ascii="IBM Plex Sans Light" w:eastAsia="Fira Sans" w:hAnsi="IBM Plex Sans Light" w:cs="Times New Roman"/>
        </w:rPr>
        <w:t xml:space="preserve">d’une dette auprès de votre mandante relative à </w:t>
      </w:r>
      <w:r w:rsidR="00B42A14" w:rsidRPr="00B42A14">
        <w:rPr>
          <w:rFonts w:ascii="IBM Plex Sans Light" w:eastAsia="Fira Sans" w:hAnsi="IBM Plex Sans Light" w:cs="Times New Roman"/>
          <w:highlight w:val="darkCyan"/>
        </w:rPr>
        <w:t>XXX (indiquer l’origine de la dette et les détails)</w:t>
      </w:r>
      <w:r w:rsidR="00B42A14">
        <w:rPr>
          <w:rFonts w:ascii="IBM Plex Sans Light" w:eastAsia="Fira Sans" w:hAnsi="IBM Plex Sans Light" w:cs="Times New Roman"/>
        </w:rPr>
        <w:t xml:space="preserve">. </w:t>
      </w:r>
    </w:p>
    <w:p w14:paraId="5248008A" w14:textId="138D7634" w:rsidR="00707394" w:rsidRDefault="00707394" w:rsidP="00F162DE">
      <w:pPr>
        <w:jc w:val="both"/>
        <w:rPr>
          <w:rFonts w:ascii="IBM Plex Sans Light" w:eastAsia="Fira Sans" w:hAnsi="IBM Plex Sans Light" w:cs="Times New Roman"/>
        </w:rPr>
      </w:pPr>
      <w:r>
        <w:rPr>
          <w:rFonts w:ascii="IBM Plex Sans Light" w:eastAsia="Fira Sans" w:hAnsi="IBM Plex Sans Light" w:cs="Times New Roman"/>
        </w:rPr>
        <w:t xml:space="preserve">A la lecture de ce décompte, </w:t>
      </w:r>
      <w:r w:rsidR="00B42A14">
        <w:rPr>
          <w:rFonts w:ascii="IBM Plex Sans Light" w:eastAsia="Fira Sans" w:hAnsi="IBM Plex Sans Light" w:cs="Times New Roman"/>
        </w:rPr>
        <w:t>nous</w:t>
      </w:r>
      <w:r>
        <w:rPr>
          <w:rFonts w:ascii="IBM Plex Sans Light" w:eastAsia="Fira Sans" w:hAnsi="IBM Plex Sans Light" w:cs="Times New Roman"/>
        </w:rPr>
        <w:t xml:space="preserve"> constat</w:t>
      </w:r>
      <w:r w:rsidR="00B42A14">
        <w:rPr>
          <w:rFonts w:ascii="IBM Plex Sans Light" w:eastAsia="Fira Sans" w:hAnsi="IBM Plex Sans Light" w:cs="Times New Roman"/>
        </w:rPr>
        <w:t>ons</w:t>
      </w:r>
      <w:r>
        <w:rPr>
          <w:rFonts w:ascii="IBM Plex Sans Light" w:eastAsia="Fira Sans" w:hAnsi="IBM Plex Sans Light" w:cs="Times New Roman"/>
        </w:rPr>
        <w:t xml:space="preserve"> que vous comptabilisez une clause indemnitaire évaluée à la somme de </w:t>
      </w:r>
      <w:r w:rsidRPr="00707394">
        <w:rPr>
          <w:rFonts w:ascii="IBM Plex Sans Light" w:eastAsia="Fira Sans" w:hAnsi="IBM Plex Sans Light" w:cs="Times New Roman"/>
          <w:highlight w:val="darkCyan"/>
        </w:rPr>
        <w:t>XXX€</w:t>
      </w:r>
      <w:r>
        <w:rPr>
          <w:rFonts w:ascii="IBM Plex Sans Light" w:eastAsia="Fira Sans" w:hAnsi="IBM Plex Sans Light" w:cs="Times New Roman"/>
        </w:rPr>
        <w:t xml:space="preserve"> ainsi que des intérêts pour un montant total de </w:t>
      </w:r>
      <w:r w:rsidRPr="00707394">
        <w:rPr>
          <w:rFonts w:ascii="IBM Plex Sans Light" w:eastAsia="Fira Sans" w:hAnsi="IBM Plex Sans Light" w:cs="Times New Roman"/>
          <w:highlight w:val="darkCyan"/>
        </w:rPr>
        <w:t>XXX€</w:t>
      </w:r>
      <w:r>
        <w:rPr>
          <w:rFonts w:ascii="IBM Plex Sans Light" w:eastAsia="Fira Sans" w:hAnsi="IBM Plex Sans Light" w:cs="Times New Roman"/>
        </w:rPr>
        <w:t xml:space="preserve">. </w:t>
      </w:r>
    </w:p>
    <w:p w14:paraId="34FC618A" w14:textId="144A78AE" w:rsidR="00C57E15" w:rsidRDefault="00C57E15" w:rsidP="00F162DE">
      <w:pPr>
        <w:jc w:val="both"/>
        <w:rPr>
          <w:rFonts w:ascii="IBM Plex Sans Light" w:eastAsia="Fira Sans" w:hAnsi="IBM Plex Sans Light" w:cs="Times New Roman"/>
        </w:rPr>
      </w:pPr>
      <w:r>
        <w:rPr>
          <w:rFonts w:ascii="IBM Plex Sans Light" w:eastAsia="Fira Sans" w:hAnsi="IBM Plex Sans Light" w:cs="Times New Roman"/>
        </w:rPr>
        <w:t xml:space="preserve">Vous n’ignorez pas que le Code de droit économique s’est récemment vu doter d’un Livre XIX relatif aux dettes du consommateur et régissant le recouvrement amiable de celles-ci. </w:t>
      </w:r>
    </w:p>
    <w:p w14:paraId="7B0DF133" w14:textId="7B506A39" w:rsidR="00C57E15" w:rsidRDefault="00C57E15" w:rsidP="00F162DE">
      <w:pPr>
        <w:jc w:val="both"/>
        <w:rPr>
          <w:rFonts w:ascii="IBM Plex Sans Light" w:eastAsia="Fira Sans" w:hAnsi="IBM Plex Sans Light" w:cs="Times New Roman"/>
        </w:rPr>
      </w:pPr>
      <w:r>
        <w:rPr>
          <w:rFonts w:ascii="IBM Plex Sans Light" w:eastAsia="Fira Sans" w:hAnsi="IBM Plex Sans Light" w:cs="Times New Roman"/>
        </w:rPr>
        <w:t xml:space="preserve">Conformément à l’article XIX.1, celui-ci s’applique à tout retard de paiement d’une dette d’un consommateur à une entreprise comme c’est le cas en espèce. </w:t>
      </w:r>
    </w:p>
    <w:p w14:paraId="7A1034C1" w14:textId="08D40BB2" w:rsidR="00707394" w:rsidRDefault="00C57E15" w:rsidP="00F162DE">
      <w:pPr>
        <w:jc w:val="both"/>
        <w:rPr>
          <w:rFonts w:ascii="IBM Plex Sans Light" w:eastAsia="Fira Sans" w:hAnsi="IBM Plex Sans Light" w:cs="Times New Roman"/>
        </w:rPr>
      </w:pPr>
      <w:r>
        <w:rPr>
          <w:rFonts w:ascii="IBM Plex Sans Light" w:eastAsia="Fira Sans" w:hAnsi="IBM Plex Sans Light" w:cs="Times New Roman"/>
        </w:rPr>
        <w:t xml:space="preserve">Pour qu’une clause indemnitaire soit applicable, il convient au préalable </w:t>
      </w:r>
      <w:r w:rsidR="004E7BD0">
        <w:rPr>
          <w:rFonts w:ascii="IBM Plex Sans Light" w:eastAsia="Fira Sans" w:hAnsi="IBM Plex Sans Light" w:cs="Times New Roman"/>
        </w:rPr>
        <w:t>de vérifier si le contrat sous-jacent ou les conditions générales offrent la faculté au créancier de comptabiliser une</w:t>
      </w:r>
      <w:r>
        <w:rPr>
          <w:rFonts w:ascii="IBM Plex Sans Light" w:eastAsia="Fira Sans" w:hAnsi="IBM Plex Sans Light" w:cs="Times New Roman"/>
        </w:rPr>
        <w:t xml:space="preserve"> telle </w:t>
      </w:r>
      <w:r w:rsidR="006364E7">
        <w:rPr>
          <w:rFonts w:ascii="IBM Plex Sans Light" w:eastAsia="Fira Sans" w:hAnsi="IBM Plex Sans Light" w:cs="Times New Roman"/>
        </w:rPr>
        <w:t>clause, laquelle</w:t>
      </w:r>
      <w:r w:rsidR="004E7BD0">
        <w:rPr>
          <w:rFonts w:ascii="IBM Plex Sans Light" w:eastAsia="Fira Sans" w:hAnsi="IBM Plex Sans Light" w:cs="Times New Roman"/>
        </w:rPr>
        <w:t xml:space="preserve"> devra, en tout état de cause, respecter les plafonds de l’article XIX.4. </w:t>
      </w:r>
    </w:p>
    <w:p w14:paraId="33943281" w14:textId="24C335B7" w:rsidR="001A3B31" w:rsidRDefault="006364E7" w:rsidP="00F162DE">
      <w:pPr>
        <w:jc w:val="both"/>
        <w:rPr>
          <w:rFonts w:ascii="IBM Plex Sans Light" w:eastAsia="Fira Sans" w:hAnsi="IBM Plex Sans Light" w:cs="Times New Roman"/>
        </w:rPr>
      </w:pPr>
      <w:r>
        <w:rPr>
          <w:rFonts w:ascii="IBM Plex Sans Light" w:eastAsia="Fira Sans" w:hAnsi="IBM Plex Sans Light" w:cs="Times New Roman"/>
        </w:rPr>
        <w:t xml:space="preserve">Le Livre XIX balise également le processus qui doit être respecté pour l’imposition d’une telle clause (à supposer qu’elle soit due). Ainsi, conformément à </w:t>
      </w:r>
      <w:r w:rsidR="001A3B31">
        <w:rPr>
          <w:rFonts w:ascii="IBM Plex Sans Light" w:eastAsia="Fira Sans" w:hAnsi="IBM Plex Sans Light" w:cs="Times New Roman"/>
        </w:rPr>
        <w:t>l’article XIX.2 du Code de droit économique, une clause indemnitaire ne peut être réclamée qu’après l’envoi d’une mise en demeure qui prend la forme d’un premier rappel et après l’écoulement d’un délai d’au moins 14 jours calendrier qui prend cours le troisième jour ouvrable qui suit celui où le rappel est envoyé au consommateur</w:t>
      </w:r>
      <w:r w:rsidR="001A3B31">
        <w:rPr>
          <w:rStyle w:val="Appelnotedebasdep"/>
          <w:rFonts w:ascii="IBM Plex Sans Light" w:eastAsia="Fira Sans" w:hAnsi="IBM Plex Sans Light" w:cs="Times New Roman"/>
        </w:rPr>
        <w:footnoteReference w:id="1"/>
      </w:r>
      <w:r w:rsidR="001A3B31">
        <w:rPr>
          <w:rFonts w:ascii="IBM Plex Sans Light" w:eastAsia="Fira Sans" w:hAnsi="IBM Plex Sans Light" w:cs="Times New Roman"/>
        </w:rPr>
        <w:t xml:space="preserve">. </w:t>
      </w:r>
    </w:p>
    <w:p w14:paraId="35431AD8" w14:textId="7D6BDEBE" w:rsidR="004E7BD0" w:rsidRDefault="004E7BD0" w:rsidP="00F162DE">
      <w:pPr>
        <w:jc w:val="both"/>
        <w:rPr>
          <w:rFonts w:ascii="IBM Plex Sans Light" w:eastAsia="Fira Sans" w:hAnsi="IBM Plex Sans Light" w:cs="Times New Roman"/>
        </w:rPr>
      </w:pPr>
      <w:r>
        <w:rPr>
          <w:rFonts w:ascii="IBM Plex Sans Light" w:eastAsia="Fira Sans" w:hAnsi="IBM Plex Sans Light" w:cs="Times New Roman"/>
        </w:rPr>
        <w:t>Afin de nous permettre de vérifier la légalité des montants réclamés, pourriez-vous m’adresser une copie du contrat sous-jacent ou des conditions générales applicables</w:t>
      </w:r>
      <w:r w:rsidR="00B42A14">
        <w:rPr>
          <w:rFonts w:ascii="IBM Plex Sans Light" w:eastAsia="Fira Sans" w:hAnsi="IBM Plex Sans Light" w:cs="Times New Roman"/>
        </w:rPr>
        <w:t xml:space="preserve"> et qui fondent la comptabilisation de tels frais</w:t>
      </w:r>
      <w:r>
        <w:rPr>
          <w:rFonts w:ascii="IBM Plex Sans Light" w:eastAsia="Fira Sans" w:hAnsi="IBM Plex Sans Light" w:cs="Times New Roman"/>
        </w:rPr>
        <w:t xml:space="preserve"> ? </w:t>
      </w:r>
      <w:bookmarkStart w:id="0" w:name="_GoBack"/>
      <w:bookmarkEnd w:id="0"/>
    </w:p>
    <w:p w14:paraId="3134BE73" w14:textId="046EFEB8" w:rsidR="00F162DE" w:rsidRPr="00BD6BF1" w:rsidRDefault="00F162DE" w:rsidP="00F162DE">
      <w:pPr>
        <w:jc w:val="both"/>
        <w:rPr>
          <w:rFonts w:ascii="IBM Plex Sans Light" w:eastAsia="Fira Sans" w:hAnsi="IBM Plex Sans Light" w:cs="Calibri Light"/>
          <w:b/>
          <w:bCs/>
        </w:rPr>
      </w:pPr>
      <w:r w:rsidRPr="00BD6BF1">
        <w:rPr>
          <w:rFonts w:ascii="IBM Plex Sans Light" w:eastAsia="Fira Sans" w:hAnsi="IBM Plex Sans Light" w:cs="Calibri Light"/>
          <w:b/>
          <w:bCs/>
        </w:rPr>
        <w:t xml:space="preserve">Nous vous remercions d’avance de la suite que vous réserverez à la présente qui vous est adressée sous toutes réserves généralement quelconques et sans reconnaissance préjudiciable aucune. </w:t>
      </w:r>
    </w:p>
    <w:p w14:paraId="4F7B1C4A" w14:textId="77777777" w:rsidR="00F162DE" w:rsidRPr="00BD6BF1" w:rsidRDefault="00F162DE" w:rsidP="00F162DE">
      <w:pPr>
        <w:jc w:val="both"/>
        <w:rPr>
          <w:rFonts w:ascii="IBM Plex Sans Light" w:eastAsia="Fira Sans" w:hAnsi="IBM Plex Sans Light" w:cs="Times New Roman"/>
        </w:rPr>
      </w:pPr>
      <w:r w:rsidRPr="00BD6BF1">
        <w:rPr>
          <w:rFonts w:ascii="IBM Plex Sans Light" w:eastAsia="Fira Sans" w:hAnsi="IBM Plex Sans Light" w:cs="Calibri Light"/>
        </w:rPr>
        <w:t>Nous vous prions d’agréer</w:t>
      </w:r>
      <w:r w:rsidRPr="00BD6BF1">
        <w:rPr>
          <w:rFonts w:ascii="IBM Plex Sans Light" w:eastAsia="Fira Sans" w:hAnsi="IBM Plex Sans Light" w:cs="Times New Roman"/>
        </w:rPr>
        <w:t xml:space="preserve">, Madame, Monsieur, Maître, l’assurance de nos sentiments distingués. </w:t>
      </w:r>
    </w:p>
    <w:p w14:paraId="40F92CE8" w14:textId="77777777" w:rsidR="00F162DE" w:rsidRPr="00BD6BF1" w:rsidRDefault="00F162DE" w:rsidP="00F162DE">
      <w:pPr>
        <w:jc w:val="both"/>
        <w:rPr>
          <w:rFonts w:ascii="IBM Plex Sans Light" w:eastAsia="Fira Sans" w:hAnsi="IBM Plex Sans Light" w:cs="Times New Roman"/>
        </w:rPr>
      </w:pPr>
    </w:p>
    <w:p w14:paraId="3D564BF5" w14:textId="2CDC86A8" w:rsidR="00DC66BB" w:rsidRDefault="00F162DE" w:rsidP="00073FDD">
      <w:pPr>
        <w:jc w:val="right"/>
      </w:pPr>
      <w:r w:rsidRPr="00BD6BF1">
        <w:rPr>
          <w:rFonts w:ascii="IBM Plex Sans Light" w:eastAsia="Fira Sans" w:hAnsi="IBM Plex Sans Light" w:cs="Times New Roman"/>
          <w:highlight w:val="darkCyan"/>
          <w:lang w:val="nl-NL"/>
        </w:rPr>
        <w:t>SIGNATURE</w:t>
      </w:r>
      <w:r w:rsidRPr="00BD6BF1">
        <w:rPr>
          <w:rFonts w:ascii="IBM Plex Sans Light" w:eastAsia="Fira Sans" w:hAnsi="IBM Plex Sans Light" w:cs="Times New Roman"/>
          <w:lang w:val="nl-NL"/>
        </w:rPr>
        <w:t xml:space="preserve"> </w:t>
      </w:r>
    </w:p>
    <w:sectPr w:rsidR="00DC66BB" w:rsidSect="00B7053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DFAC6" w14:textId="77777777" w:rsidR="00707394" w:rsidRDefault="00707394" w:rsidP="00707394">
      <w:pPr>
        <w:spacing w:after="0" w:line="240" w:lineRule="auto"/>
      </w:pPr>
      <w:r>
        <w:separator/>
      </w:r>
    </w:p>
  </w:endnote>
  <w:endnote w:type="continuationSeparator" w:id="0">
    <w:p w14:paraId="534DAF66" w14:textId="77777777" w:rsidR="00707394" w:rsidRDefault="00707394" w:rsidP="0070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BM Plex Sans Light">
    <w:altName w:val="Calibri"/>
    <w:charset w:val="00"/>
    <w:family w:val="swiss"/>
    <w:pitch w:val="variable"/>
    <w:sig w:usb0="A00002EF" w:usb1="5000207B" w:usb2="00000000" w:usb3="00000000" w:csb0="0000019F" w:csb1="00000000"/>
  </w:font>
  <w:font w:name="Fira Sans">
    <w:altName w:val="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4D11A" w14:textId="77777777" w:rsidR="00286EFC" w:rsidRDefault="00A729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393145"/>
      <w:docPartObj>
        <w:docPartGallery w:val="Page Numbers (Bottom of Page)"/>
        <w:docPartUnique/>
      </w:docPartObj>
    </w:sdtPr>
    <w:sdtEndPr/>
    <w:sdtContent>
      <w:p w14:paraId="593EC731" w14:textId="77777777" w:rsidR="00406A37" w:rsidRDefault="00B42A14">
        <w:pPr>
          <w:pStyle w:val="Pieddepage"/>
          <w:jc w:val="right"/>
        </w:pPr>
        <w:r>
          <w:fldChar w:fldCharType="begin"/>
        </w:r>
        <w:r>
          <w:instrText>PAGE   \* MERGEFORMAT</w:instrText>
        </w:r>
        <w:r>
          <w:fldChar w:fldCharType="separate"/>
        </w:r>
        <w:r>
          <w:rPr>
            <w:lang w:val="fr-FR"/>
          </w:rPr>
          <w:t>2</w:t>
        </w:r>
        <w:r>
          <w:fldChar w:fldCharType="end"/>
        </w:r>
      </w:p>
    </w:sdtContent>
  </w:sdt>
  <w:p w14:paraId="586C815C" w14:textId="77777777" w:rsidR="001559BD" w:rsidRDefault="00A7296E" w:rsidP="00712EC4">
    <w:pPr>
      <w:pStyle w:val="Pieddepage"/>
      <w:tabs>
        <w:tab w:val="clear" w:pos="4513"/>
        <w:tab w:val="left" w:pos="2340"/>
      </w:tabs>
      <w:spacing w:before="24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201080"/>
      <w:docPartObj>
        <w:docPartGallery w:val="Page Numbers (Bottom of Page)"/>
        <w:docPartUnique/>
      </w:docPartObj>
    </w:sdtPr>
    <w:sdtEndPr/>
    <w:sdtContent>
      <w:p w14:paraId="5F210CD5" w14:textId="77777777" w:rsidR="009D51A7" w:rsidRDefault="00B42A14">
        <w:pPr>
          <w:pStyle w:val="Pieddepage"/>
          <w:jc w:val="right"/>
        </w:pPr>
        <w:r>
          <w:fldChar w:fldCharType="begin"/>
        </w:r>
        <w:r>
          <w:instrText>PAGE   \* MERGEFORMAT</w:instrText>
        </w:r>
        <w:r>
          <w:fldChar w:fldCharType="separate"/>
        </w:r>
        <w:r>
          <w:rPr>
            <w:lang w:val="fr-FR"/>
          </w:rPr>
          <w:t>2</w:t>
        </w:r>
        <w:r>
          <w:fldChar w:fldCharType="end"/>
        </w:r>
      </w:p>
    </w:sdtContent>
  </w:sdt>
  <w:p w14:paraId="11F63FF1" w14:textId="77777777" w:rsidR="00EF57B9" w:rsidRDefault="00A7296E" w:rsidP="009D51A7">
    <w:pPr>
      <w:pStyle w:val="Pieddepage"/>
      <w:tabs>
        <w:tab w:val="clear" w:pos="4513"/>
        <w:tab w:val="left" w:pos="2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B43CB" w14:textId="77777777" w:rsidR="00707394" w:rsidRDefault="00707394" w:rsidP="00707394">
      <w:pPr>
        <w:spacing w:after="0" w:line="240" w:lineRule="auto"/>
      </w:pPr>
      <w:r>
        <w:separator/>
      </w:r>
    </w:p>
  </w:footnote>
  <w:footnote w:type="continuationSeparator" w:id="0">
    <w:p w14:paraId="22DD0DE3" w14:textId="77777777" w:rsidR="00707394" w:rsidRDefault="00707394" w:rsidP="00707394">
      <w:pPr>
        <w:spacing w:after="0" w:line="240" w:lineRule="auto"/>
      </w:pPr>
      <w:r>
        <w:continuationSeparator/>
      </w:r>
    </w:p>
  </w:footnote>
  <w:footnote w:id="1">
    <w:p w14:paraId="71D52FDD" w14:textId="77777777" w:rsidR="001A3B31" w:rsidRDefault="001A3B31" w:rsidP="001A3B31">
      <w:pPr>
        <w:pStyle w:val="Notedebasdepage"/>
      </w:pPr>
      <w:r>
        <w:rPr>
          <w:rStyle w:val="Appelnotedebasdep"/>
        </w:rPr>
        <w:footnoteRef/>
      </w:r>
      <w:r>
        <w:t xml:space="preserve"> </w:t>
      </w:r>
      <w:r w:rsidRPr="00707394">
        <w:t>Lorsque le rappel est envoyé par voie électronique, le délai de 14 jours prend cours le jour calendrier qui suit celui où le rappel est envoyé au consommateur.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9FF02" w14:textId="77777777" w:rsidR="00286EFC" w:rsidRDefault="00A729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9DC12" w14:textId="77777777" w:rsidR="00DB6670" w:rsidRDefault="00A7296E" w:rsidP="00B05DF6"/>
  <w:p w14:paraId="1D1C47AD" w14:textId="77777777" w:rsidR="00DB6670" w:rsidRDefault="00A7296E" w:rsidP="00B05D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78CC1" w14:textId="77777777" w:rsidR="00286EFC" w:rsidRDefault="00A7296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DE"/>
    <w:rsid w:val="00073FDD"/>
    <w:rsid w:val="001A3B31"/>
    <w:rsid w:val="001E60D6"/>
    <w:rsid w:val="004E7BD0"/>
    <w:rsid w:val="006364E7"/>
    <w:rsid w:val="0064197A"/>
    <w:rsid w:val="00707394"/>
    <w:rsid w:val="00A7296E"/>
    <w:rsid w:val="00B42A14"/>
    <w:rsid w:val="00B73955"/>
    <w:rsid w:val="00C57E15"/>
    <w:rsid w:val="00D95D5E"/>
    <w:rsid w:val="00DC66BB"/>
    <w:rsid w:val="00F162DE"/>
    <w:rsid w:val="00F7140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620D"/>
  <w15:chartTrackingRefBased/>
  <w15:docId w15:val="{A046871F-9B1F-42F0-847D-61AF63B5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162DE"/>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F162DE"/>
  </w:style>
  <w:style w:type="paragraph" w:styleId="Pieddepage">
    <w:name w:val="footer"/>
    <w:basedOn w:val="Normal"/>
    <w:link w:val="PieddepageCar"/>
    <w:uiPriority w:val="99"/>
    <w:unhideWhenUsed/>
    <w:rsid w:val="00F162D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162DE"/>
  </w:style>
  <w:style w:type="paragraph" w:styleId="Citation">
    <w:name w:val="Quote"/>
    <w:basedOn w:val="Normal"/>
    <w:next w:val="Normal"/>
    <w:link w:val="CitationCar"/>
    <w:uiPriority w:val="29"/>
    <w:qFormat/>
    <w:rsid w:val="00F162DE"/>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F162DE"/>
    <w:rPr>
      <w:i/>
      <w:iCs/>
      <w:color w:val="404040" w:themeColor="text1" w:themeTint="BF"/>
    </w:rPr>
  </w:style>
  <w:style w:type="paragraph" w:styleId="Notedebasdepage">
    <w:name w:val="footnote text"/>
    <w:basedOn w:val="Normal"/>
    <w:link w:val="NotedebasdepageCar"/>
    <w:uiPriority w:val="99"/>
    <w:semiHidden/>
    <w:unhideWhenUsed/>
    <w:rsid w:val="0070739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394"/>
    <w:rPr>
      <w:sz w:val="20"/>
      <w:szCs w:val="20"/>
    </w:rPr>
  </w:style>
  <w:style w:type="character" w:styleId="Appelnotedebasdep">
    <w:name w:val="footnote reference"/>
    <w:basedOn w:val="Policepardfaut"/>
    <w:uiPriority w:val="99"/>
    <w:semiHidden/>
    <w:unhideWhenUsed/>
    <w:rsid w:val="007073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9CD31-4F5A-4F13-944B-4A99E644D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352</Words>
  <Characters>1941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EVERAERTS</dc:creator>
  <cp:keywords/>
  <dc:description/>
  <cp:lastModifiedBy>Alissa EVERAERTS</cp:lastModifiedBy>
  <cp:revision>10</cp:revision>
  <dcterms:created xsi:type="dcterms:W3CDTF">2026-05-06T13:33:00Z</dcterms:created>
  <dcterms:modified xsi:type="dcterms:W3CDTF">2026-05-07T09:33:00Z</dcterms:modified>
</cp:coreProperties>
</file>