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69F24" w14:textId="2D75FE6C" w:rsidR="00883284" w:rsidRPr="00883284" w:rsidRDefault="00883284" w:rsidP="00883284">
      <w:pPr>
        <w:keepNext/>
        <w:keepLines/>
        <w:spacing w:before="40" w:after="0"/>
        <w:jc w:val="center"/>
        <w:outlineLvl w:val="2"/>
        <w:rPr>
          <w:rFonts w:ascii="IBM Plex Sans Light" w:eastAsia="Times New Roman" w:hAnsi="IBM Plex Sans Light" w:cs="Times New Roman"/>
          <w:b/>
          <w:bCs/>
          <w:color w:val="153047"/>
          <w:sz w:val="24"/>
          <w:szCs w:val="24"/>
        </w:rPr>
      </w:pPr>
      <w:r w:rsidRPr="00883284">
        <w:rPr>
          <w:rFonts w:ascii="IBM Plex Sans Light" w:eastAsia="Times New Roman" w:hAnsi="IBM Plex Sans Light" w:cs="Times New Roman"/>
          <w:b/>
          <w:bCs/>
          <w:color w:val="153047"/>
          <w:sz w:val="24"/>
          <w:szCs w:val="24"/>
        </w:rPr>
        <w:t xml:space="preserve">LETTRE TYPE – </w:t>
      </w:r>
      <w:r>
        <w:rPr>
          <w:rFonts w:ascii="IBM Plex Sans Light" w:eastAsia="Times New Roman" w:hAnsi="IBM Plex Sans Light" w:cs="Times New Roman"/>
          <w:b/>
          <w:bCs/>
          <w:color w:val="153047"/>
          <w:sz w:val="24"/>
          <w:szCs w:val="24"/>
        </w:rPr>
        <w:t>R</w:t>
      </w:r>
      <w:r w:rsidRPr="00883284">
        <w:rPr>
          <w:rFonts w:ascii="IBM Plex Sans Light" w:eastAsia="Times New Roman" w:hAnsi="IBM Plex Sans Light" w:cs="Times New Roman"/>
          <w:b/>
          <w:bCs/>
          <w:color w:val="153047"/>
          <w:sz w:val="24"/>
          <w:szCs w:val="24"/>
        </w:rPr>
        <w:t>ecouvrement des factures d</w:t>
      </w:r>
      <w:r>
        <w:rPr>
          <w:rFonts w:ascii="IBM Plex Sans Light" w:eastAsia="Times New Roman" w:hAnsi="IBM Plex Sans Light" w:cs="Times New Roman"/>
          <w:b/>
          <w:bCs/>
          <w:color w:val="153047"/>
          <w:sz w:val="24"/>
          <w:szCs w:val="24"/>
        </w:rPr>
        <w:t xml:space="preserve">e télécommunications </w:t>
      </w:r>
      <w:r w:rsidRPr="00883284">
        <w:rPr>
          <w:rFonts w:ascii="IBM Plex Sans Light" w:eastAsia="Times New Roman" w:hAnsi="IBM Plex Sans Light" w:cs="Times New Roman"/>
          <w:b/>
          <w:bCs/>
          <w:color w:val="153047"/>
          <w:sz w:val="24"/>
          <w:szCs w:val="24"/>
        </w:rPr>
        <w:t xml:space="preserve">: articulation du CDE avec la législation spécifique – </w:t>
      </w:r>
      <w:r w:rsidRPr="00883284">
        <w:rPr>
          <w:rFonts w:ascii="IBM Plex Sans Light" w:eastAsia="Times New Roman" w:hAnsi="IBM Plex Sans Light" w:cs="Times New Roman"/>
          <w:b/>
          <w:bCs/>
          <w:color w:val="153047"/>
          <w:sz w:val="24"/>
          <w:szCs w:val="24"/>
          <w:highlight w:val="darkCyan"/>
        </w:rPr>
        <w:t>les notes surlignées sont à compléter</w:t>
      </w:r>
    </w:p>
    <w:p w14:paraId="1BA4121B" w14:textId="77777777" w:rsidR="00883284" w:rsidRPr="00883284" w:rsidRDefault="00883284" w:rsidP="00883284">
      <w:pPr>
        <w:rPr>
          <w:rFonts w:ascii="IBM Plex Sans Light" w:eastAsia="Fira Sans" w:hAnsi="IBM Plex Sans Light" w:cs="Times New Roman"/>
        </w:rPr>
      </w:pPr>
    </w:p>
    <w:p w14:paraId="00574A1D" w14:textId="77777777" w:rsidR="00883284" w:rsidRPr="00883284" w:rsidRDefault="00883284" w:rsidP="00883284">
      <w:pPr>
        <w:rPr>
          <w:rFonts w:ascii="IBM Plex Sans Light" w:eastAsia="Fira Sans" w:hAnsi="IBM Plex Sans Light" w:cs="Times New Roman"/>
        </w:rPr>
      </w:pPr>
      <w:r w:rsidRPr="00883284">
        <w:rPr>
          <w:rFonts w:ascii="IBM Plex Sans Light" w:eastAsia="Fira Sans" w:hAnsi="IBM Plex Sans Light" w:cs="Times New Roman"/>
        </w:rPr>
        <w:tab/>
      </w:r>
      <w:r w:rsidRPr="00883284">
        <w:rPr>
          <w:rFonts w:ascii="IBM Plex Sans Light" w:eastAsia="Fira Sans" w:hAnsi="IBM Plex Sans Light" w:cs="Times New Roman"/>
        </w:rPr>
        <w:tab/>
      </w:r>
      <w:r w:rsidRPr="00883284">
        <w:rPr>
          <w:rFonts w:ascii="IBM Plex Sans Light" w:eastAsia="Fira Sans" w:hAnsi="IBM Plex Sans Light" w:cs="Times New Roman"/>
        </w:rPr>
        <w:tab/>
      </w:r>
      <w:r w:rsidRPr="00883284">
        <w:rPr>
          <w:rFonts w:ascii="IBM Plex Sans Light" w:eastAsia="Fira Sans" w:hAnsi="IBM Plex Sans Light" w:cs="Times New Roman"/>
        </w:rPr>
        <w:tab/>
      </w:r>
      <w:r w:rsidRPr="00883284">
        <w:rPr>
          <w:rFonts w:ascii="IBM Plex Sans Light" w:eastAsia="Fira Sans" w:hAnsi="IBM Plex Sans Light" w:cs="Times New Roman"/>
        </w:rPr>
        <w:tab/>
      </w:r>
      <w:r w:rsidRPr="00883284">
        <w:rPr>
          <w:rFonts w:ascii="IBM Plex Sans Light" w:eastAsia="Fira Sans" w:hAnsi="IBM Plex Sans Light" w:cs="Times New Roman"/>
        </w:rPr>
        <w:tab/>
      </w:r>
      <w:r w:rsidRPr="00883284">
        <w:rPr>
          <w:rFonts w:ascii="IBM Plex Sans Light" w:eastAsia="Fira Sans" w:hAnsi="IBM Plex Sans Light" w:cs="Times New Roman"/>
        </w:rPr>
        <w:tab/>
      </w:r>
      <w:r w:rsidRPr="00883284">
        <w:rPr>
          <w:rFonts w:ascii="IBM Plex Sans Light" w:eastAsia="Fira Sans" w:hAnsi="IBM Plex Sans Light" w:cs="Times New Roman"/>
        </w:rPr>
        <w:tab/>
      </w:r>
      <w:r w:rsidRPr="00883284">
        <w:rPr>
          <w:rFonts w:ascii="IBM Plex Sans Light" w:eastAsia="Fira Sans" w:hAnsi="IBM Plex Sans Light" w:cs="Times New Roman"/>
        </w:rPr>
        <w:tab/>
      </w:r>
      <w:r w:rsidRPr="00883284">
        <w:rPr>
          <w:rFonts w:ascii="IBM Plex Sans Light" w:eastAsia="Fira Sans" w:hAnsi="IBM Plex Sans Light" w:cs="Times New Roman"/>
        </w:rPr>
        <w:tab/>
        <w:t xml:space="preserve">Bruxelles, le </w:t>
      </w:r>
      <w:r w:rsidRPr="00883284">
        <w:rPr>
          <w:rFonts w:ascii="IBM Plex Sans Light" w:eastAsia="Fira Sans" w:hAnsi="IBM Plex Sans Light" w:cs="Times New Roman"/>
          <w:highlight w:val="darkCyan"/>
        </w:rPr>
        <w:t>XXX</w:t>
      </w:r>
    </w:p>
    <w:p w14:paraId="2FC2E5C5" w14:textId="77777777" w:rsidR="00883284" w:rsidRPr="00883284" w:rsidRDefault="00883284" w:rsidP="00883284">
      <w:pPr>
        <w:rPr>
          <w:rFonts w:ascii="IBM Plex Sans Light" w:eastAsia="Fira Sans" w:hAnsi="IBM Plex Sans Light" w:cs="Times New Roman"/>
          <w:b/>
          <w:sz w:val="24"/>
          <w:szCs w:val="24"/>
          <w:u w:val="single"/>
        </w:rPr>
      </w:pPr>
      <w:r w:rsidRPr="00883284">
        <w:rPr>
          <w:rFonts w:ascii="IBM Plex Sans Light" w:eastAsia="Fira Sans" w:hAnsi="IBM Plex Sans Light" w:cs="Times New Roman"/>
          <w:b/>
          <w:sz w:val="24"/>
          <w:szCs w:val="24"/>
          <w:u w:val="single"/>
        </w:rPr>
        <w:t xml:space="preserve">Concerne : </w:t>
      </w:r>
      <w:r w:rsidRPr="00883284">
        <w:rPr>
          <w:rFonts w:ascii="IBM Plex Sans Light" w:eastAsia="Fira Sans" w:hAnsi="IBM Plex Sans Light" w:cs="Times New Roman"/>
          <w:b/>
          <w:sz w:val="24"/>
          <w:szCs w:val="24"/>
          <w:highlight w:val="darkCyan"/>
          <w:u w:val="single"/>
        </w:rPr>
        <w:t>XXX</w:t>
      </w:r>
    </w:p>
    <w:p w14:paraId="62F588FD" w14:textId="77777777" w:rsidR="00883284" w:rsidRPr="00883284" w:rsidRDefault="00883284" w:rsidP="00883284">
      <w:pPr>
        <w:jc w:val="both"/>
        <w:rPr>
          <w:rFonts w:ascii="IBM Plex Sans Light" w:eastAsia="Fira Sans" w:hAnsi="IBM Plex Sans Light" w:cs="Times New Roman"/>
        </w:rPr>
      </w:pPr>
      <w:r w:rsidRPr="00883284">
        <w:rPr>
          <w:rFonts w:ascii="IBM Plex Sans Light" w:eastAsia="Fira Sans" w:hAnsi="IBM Plex Sans Light" w:cs="Times New Roman"/>
        </w:rPr>
        <w:t xml:space="preserve">Madame, Monsieur, Maître </w:t>
      </w:r>
      <w:r w:rsidRPr="00883284">
        <w:rPr>
          <w:rFonts w:ascii="IBM Plex Sans Light" w:eastAsia="Fira Sans" w:hAnsi="IBM Plex Sans Light" w:cs="Times New Roman"/>
          <w:highlight w:val="darkCyan"/>
        </w:rPr>
        <w:t>(supprimez la mention inutile)</w:t>
      </w:r>
    </w:p>
    <w:p w14:paraId="009532A6" w14:textId="77777777" w:rsidR="00883284" w:rsidRPr="00883284" w:rsidRDefault="00883284" w:rsidP="00883284">
      <w:pPr>
        <w:jc w:val="both"/>
        <w:rPr>
          <w:rFonts w:ascii="IBM Plex Sans Light" w:eastAsia="Fira Sans" w:hAnsi="IBM Plex Sans Light" w:cs="Times New Roman"/>
        </w:rPr>
      </w:pPr>
      <w:r w:rsidRPr="00883284">
        <w:rPr>
          <w:rFonts w:ascii="IBM Plex Sans Light" w:eastAsia="Fira Sans" w:hAnsi="IBM Plex Sans Light" w:cs="Times New Roman"/>
        </w:rPr>
        <w:t xml:space="preserve">Nous vous adressons la présente dans le cadre du dossier dont les références sont reprises sous rubrique. </w:t>
      </w:r>
    </w:p>
    <w:p w14:paraId="76C4AA85" w14:textId="77777777" w:rsidR="00883284" w:rsidRPr="00883284" w:rsidRDefault="00883284" w:rsidP="00883284">
      <w:pPr>
        <w:jc w:val="both"/>
        <w:rPr>
          <w:rFonts w:ascii="IBM Plex Sans Light" w:eastAsia="Fira Sans" w:hAnsi="IBM Plex Sans Light" w:cs="Times New Roman"/>
        </w:rPr>
      </w:pPr>
      <w:r w:rsidRPr="00883284">
        <w:rPr>
          <w:rFonts w:ascii="IBM Plex Sans Light" w:eastAsia="Fira Sans" w:hAnsi="IBM Plex Sans Light" w:cs="Times New Roman"/>
        </w:rPr>
        <w:t xml:space="preserve">La présente fait suite au décompte daté du </w:t>
      </w:r>
      <w:r w:rsidRPr="00883284">
        <w:rPr>
          <w:rFonts w:ascii="IBM Plex Sans Light" w:eastAsia="Fira Sans" w:hAnsi="IBM Plex Sans Light" w:cs="Times New Roman"/>
          <w:highlight w:val="darkCyan"/>
        </w:rPr>
        <w:t>XXX</w:t>
      </w:r>
      <w:r w:rsidRPr="00883284">
        <w:rPr>
          <w:rFonts w:ascii="IBM Plex Sans Light" w:eastAsia="Fira Sans" w:hAnsi="IBM Plex Sans Light" w:cs="Times New Roman"/>
        </w:rPr>
        <w:t xml:space="preserve">, lequel a retenu notre meilleure attention. </w:t>
      </w:r>
    </w:p>
    <w:p w14:paraId="71CEB490" w14:textId="2F4C4B7C" w:rsidR="00883284" w:rsidRPr="00883284" w:rsidRDefault="00883284" w:rsidP="00883284">
      <w:pPr>
        <w:spacing w:after="200" w:line="276" w:lineRule="auto"/>
        <w:jc w:val="both"/>
        <w:rPr>
          <w:rFonts w:ascii="IBM Plex Sans Light" w:eastAsia="Times New Roman" w:hAnsi="IBM Plex Sans Light" w:cs="Calibri Light"/>
        </w:rPr>
      </w:pPr>
      <w:r w:rsidRPr="00883284">
        <w:rPr>
          <w:rFonts w:ascii="IBM Plex Sans Light" w:eastAsia="Times New Roman" w:hAnsi="IBM Plex Sans Light" w:cs="Calibri Light"/>
        </w:rPr>
        <w:t xml:space="preserve">Nous constatons cependant que vous facturez des frais de rappel à </w:t>
      </w:r>
      <w:r w:rsidRPr="00883284">
        <w:rPr>
          <w:rFonts w:ascii="IBM Plex Sans Light" w:eastAsia="Times New Roman" w:hAnsi="IBM Plex Sans Light" w:cs="Calibri Light"/>
          <w:highlight w:val="darkCyan"/>
        </w:rPr>
        <w:t>X</w:t>
      </w:r>
      <w:r w:rsidRPr="00883284">
        <w:rPr>
          <w:rFonts w:ascii="IBM Plex Sans Light" w:eastAsia="Times New Roman" w:hAnsi="IBM Plex Sans Light" w:cs="Calibri Light"/>
        </w:rPr>
        <w:t xml:space="preserve">€ (dès le premier rappel) et des frais de mise en demeure (à </w:t>
      </w:r>
      <w:r w:rsidRPr="00883284">
        <w:rPr>
          <w:rFonts w:ascii="IBM Plex Sans Light" w:eastAsia="Times New Roman" w:hAnsi="IBM Plex Sans Light" w:cs="Calibri Light"/>
          <w:highlight w:val="darkCyan"/>
        </w:rPr>
        <w:t>X</w:t>
      </w:r>
      <w:r w:rsidRPr="00883284">
        <w:rPr>
          <w:rFonts w:ascii="IBM Plex Sans Light" w:eastAsia="Times New Roman" w:hAnsi="IBM Plex Sans Light" w:cs="Calibri Light"/>
        </w:rPr>
        <w:t>€), outre une indemnité forfaitaire plafonnée.</w:t>
      </w:r>
    </w:p>
    <w:p w14:paraId="21F1F49F" w14:textId="77777777" w:rsidR="00883284" w:rsidRPr="00883284" w:rsidRDefault="00883284" w:rsidP="00883284">
      <w:pPr>
        <w:numPr>
          <w:ilvl w:val="0"/>
          <w:numId w:val="1"/>
        </w:numPr>
        <w:spacing w:after="200" w:line="276" w:lineRule="auto"/>
        <w:ind w:left="851"/>
        <w:jc w:val="both"/>
        <w:rPr>
          <w:rFonts w:ascii="IBM Plex Sans Light" w:eastAsia="Times New Roman" w:hAnsi="IBM Plex Sans Light" w:cs="Calibri Light"/>
          <w:b/>
        </w:rPr>
      </w:pPr>
      <w:r w:rsidRPr="00883284">
        <w:rPr>
          <w:rFonts w:ascii="IBM Plex Sans Light" w:eastAsia="Times New Roman" w:hAnsi="IBM Plex Sans Light" w:cs="Calibri Light"/>
          <w:b/>
        </w:rPr>
        <w:t xml:space="preserve">Rappel du cadre légal mis en place par le Livre XIX du Code de droit économique </w:t>
      </w:r>
    </w:p>
    <w:p w14:paraId="5A42386C" w14:textId="77777777" w:rsidR="00883284" w:rsidRPr="00883284" w:rsidRDefault="00883284" w:rsidP="00883284">
      <w:pPr>
        <w:spacing w:after="200" w:line="276" w:lineRule="auto"/>
        <w:jc w:val="both"/>
        <w:rPr>
          <w:rFonts w:ascii="IBM Plex Sans Light" w:eastAsia="Times New Roman" w:hAnsi="IBM Plex Sans Light" w:cs="Calibri Light"/>
        </w:rPr>
      </w:pPr>
      <w:r w:rsidRPr="00883284">
        <w:rPr>
          <w:rFonts w:ascii="IBM Plex Sans Light" w:eastAsia="Times New Roman" w:hAnsi="IBM Plex Sans Light" w:cs="Calibri Light"/>
        </w:rPr>
        <w:t xml:space="preserve">Depuis l’entrée en vigueur du Livre XIX du Code de droit économique (ci-après « CDE ») « Dettes du consommateur », le retard de paiement d’un consommateur est strictement encadré. En effet, dans le cadre du recouvrement de sa dette, l’entreprise doit </w:t>
      </w:r>
      <w:r w:rsidRPr="00883284">
        <w:rPr>
          <w:rFonts w:ascii="IBM Plex Sans Light" w:eastAsia="Times New Roman" w:hAnsi="IBM Plex Sans Light" w:cs="Calibri Light"/>
          <w:b/>
        </w:rPr>
        <w:t>obligatoirement</w:t>
      </w:r>
      <w:r w:rsidRPr="00883284">
        <w:rPr>
          <w:rFonts w:ascii="IBM Plex Sans Light" w:eastAsia="Times New Roman" w:hAnsi="IBM Plex Sans Light" w:cs="Calibri Light"/>
        </w:rPr>
        <w:t xml:space="preserve"> envoyer un premier rappel gratuit au consommateur</w:t>
      </w:r>
      <w:r w:rsidRPr="00883284">
        <w:rPr>
          <w:rFonts w:ascii="IBM Plex Sans Light" w:eastAsia="Times New Roman" w:hAnsi="IBM Plex Sans Light" w:cs="Calibri Light"/>
          <w:vertAlign w:val="superscript"/>
        </w:rPr>
        <w:footnoteReference w:id="1"/>
      </w:r>
      <w:r w:rsidRPr="00883284">
        <w:rPr>
          <w:rFonts w:ascii="IBM Plex Sans Light" w:eastAsia="Times New Roman" w:hAnsi="IBM Plex Sans Light" w:cs="Calibri Light"/>
        </w:rPr>
        <w:t xml:space="preserve">. </w:t>
      </w:r>
    </w:p>
    <w:p w14:paraId="397B7E12" w14:textId="77777777" w:rsidR="00883284" w:rsidRPr="00883284" w:rsidRDefault="00883284" w:rsidP="00883284">
      <w:pPr>
        <w:spacing w:after="200" w:line="276" w:lineRule="auto"/>
        <w:jc w:val="both"/>
        <w:rPr>
          <w:rFonts w:ascii="IBM Plex Sans Light" w:eastAsia="Times New Roman" w:hAnsi="IBM Plex Sans Light" w:cs="Calibri Light"/>
        </w:rPr>
      </w:pPr>
      <w:r w:rsidRPr="00883284">
        <w:rPr>
          <w:rFonts w:ascii="IBM Plex Sans Light" w:eastAsia="Times New Roman" w:hAnsi="IBM Plex Sans Light" w:cs="Calibri Light"/>
        </w:rPr>
        <w:t xml:space="preserve">Tant que ce premier rappel gratuit n’a pas été envoyé, l’entreprise ne peut réclamer aucune pénalité pour cause de retard de paiement, même si ses conditions générales prévoient le contraire. </w:t>
      </w:r>
    </w:p>
    <w:p w14:paraId="51A05586" w14:textId="77777777" w:rsidR="00883284" w:rsidRPr="00883284" w:rsidRDefault="00883284" w:rsidP="00883284">
      <w:pPr>
        <w:spacing w:after="200" w:line="276" w:lineRule="auto"/>
        <w:jc w:val="both"/>
        <w:rPr>
          <w:rFonts w:ascii="IBM Plex Sans Light" w:eastAsia="Times New Roman" w:hAnsi="IBM Plex Sans Light" w:cs="Calibri Light"/>
        </w:rPr>
      </w:pPr>
      <w:r w:rsidRPr="00883284">
        <w:rPr>
          <w:rFonts w:ascii="IBM Plex Sans Light" w:eastAsia="Times New Roman" w:hAnsi="IBM Plex Sans Light" w:cs="Calibri Light"/>
        </w:rPr>
        <w:t>Dans le cadre des contrats à prestations successives, seuls les rappels liés à trois échéances impayées par an sont gratuits. A compter du 4</w:t>
      </w:r>
      <w:r w:rsidRPr="00883284">
        <w:rPr>
          <w:rFonts w:ascii="IBM Plex Sans Light" w:eastAsia="Times New Roman" w:hAnsi="IBM Plex Sans Light" w:cs="Calibri Light"/>
          <w:vertAlign w:val="superscript"/>
        </w:rPr>
        <w:t>ème</w:t>
      </w:r>
      <w:r w:rsidRPr="00883284">
        <w:rPr>
          <w:rFonts w:ascii="IBM Plex Sans Light" w:eastAsia="Times New Roman" w:hAnsi="IBM Plex Sans Light" w:cs="Calibri Light"/>
        </w:rPr>
        <w:t xml:space="preserve"> retard de paiement, l’entreprise peut ainsi facturer des frais de rappel dont le montant est également plafonné à 7,50 € augmenté des frais postaux en vigueur</w:t>
      </w:r>
      <w:r w:rsidRPr="00883284">
        <w:rPr>
          <w:rFonts w:ascii="IBM Plex Sans Light" w:eastAsia="Times New Roman" w:hAnsi="IBM Plex Sans Light" w:cs="Calibri Light"/>
          <w:vertAlign w:val="superscript"/>
        </w:rPr>
        <w:footnoteReference w:id="2"/>
      </w:r>
      <w:r w:rsidRPr="00883284">
        <w:rPr>
          <w:rFonts w:ascii="IBM Plex Sans Light" w:eastAsia="Times New Roman" w:hAnsi="IBM Plex Sans Light" w:cs="Calibri Light"/>
        </w:rPr>
        <w:t xml:space="preserve">. </w:t>
      </w:r>
    </w:p>
    <w:p w14:paraId="2B22C803" w14:textId="1CF8A353" w:rsidR="00883284" w:rsidRPr="00883284" w:rsidRDefault="00883284" w:rsidP="00883284">
      <w:pPr>
        <w:spacing w:after="200" w:line="276" w:lineRule="auto"/>
        <w:jc w:val="both"/>
        <w:rPr>
          <w:rFonts w:ascii="IBM Plex Sans Light" w:eastAsia="Times New Roman" w:hAnsi="IBM Plex Sans Light" w:cs="Calibri Light"/>
        </w:rPr>
      </w:pPr>
      <w:r w:rsidRPr="00883284">
        <w:rPr>
          <w:rFonts w:ascii="IBM Plex Sans Light" w:eastAsia="Times New Roman" w:hAnsi="IBM Plex Sans Light" w:cs="Calibri Light"/>
        </w:rPr>
        <w:t>Si le premier rappel (gratuit) reste sans réponse à l’expiration du délai prévu, l’entreprise peut comptabiliser un intérêt de retard et/ou une indemnité forfaitaire. Ceux-ci doivent cependant respecter les plafonds fixés à l’article XIX.4 du CDE.</w:t>
      </w:r>
    </w:p>
    <w:p w14:paraId="705FEC62" w14:textId="34DB95D4" w:rsidR="00883284" w:rsidRPr="00883284" w:rsidRDefault="00883284" w:rsidP="00883284">
      <w:pPr>
        <w:numPr>
          <w:ilvl w:val="0"/>
          <w:numId w:val="2"/>
        </w:numPr>
        <w:spacing w:after="200" w:line="276" w:lineRule="auto"/>
        <w:ind w:left="851" w:hanging="284"/>
        <w:jc w:val="both"/>
        <w:rPr>
          <w:rFonts w:ascii="IBM Plex Sans Light" w:eastAsia="Times New Roman" w:hAnsi="IBM Plex Sans Light" w:cs="Calibri Light"/>
          <w:b/>
        </w:rPr>
      </w:pPr>
      <w:r>
        <w:rPr>
          <w:rFonts w:ascii="IBM Plex Sans Light" w:eastAsia="Times New Roman" w:hAnsi="IBM Plex Sans Light" w:cs="Calibri Light"/>
          <w:b/>
        </w:rPr>
        <w:t>La Loi du 13 juin 2005 relative aux communications électroniques</w:t>
      </w:r>
    </w:p>
    <w:p w14:paraId="2AFC6EE1" w14:textId="1C90D781" w:rsidR="00883284" w:rsidRPr="00883284" w:rsidRDefault="00883284" w:rsidP="00883284">
      <w:pPr>
        <w:spacing w:after="200" w:line="276" w:lineRule="auto"/>
        <w:jc w:val="both"/>
        <w:rPr>
          <w:rFonts w:ascii="IBM Plex Sans Light" w:eastAsia="Times New Roman" w:hAnsi="IBM Plex Sans Light" w:cs="Calibri Light"/>
        </w:rPr>
      </w:pPr>
      <w:r w:rsidRPr="00883284">
        <w:rPr>
          <w:rFonts w:ascii="IBM Plex Sans Light" w:eastAsia="Times New Roman" w:hAnsi="IBM Plex Sans Light" w:cs="Calibri Light"/>
        </w:rPr>
        <w:t xml:space="preserve">Nous n’ignorons pas </w:t>
      </w:r>
      <w:r>
        <w:rPr>
          <w:rFonts w:ascii="IBM Plex Sans Light" w:eastAsia="Times New Roman" w:hAnsi="IBM Plex Sans Light" w:cs="Calibri Light"/>
        </w:rPr>
        <w:t xml:space="preserve">qu’une législation fédérale </w:t>
      </w:r>
      <w:r w:rsidRPr="00883284">
        <w:rPr>
          <w:rFonts w:ascii="IBM Plex Sans Light" w:eastAsia="Times New Roman" w:hAnsi="IBM Plex Sans Light" w:cs="Calibri Light"/>
        </w:rPr>
        <w:t xml:space="preserve">prévoit d’autres règles en matière de recouvrement de dettes impayées. Il s’agit d’une loi </w:t>
      </w:r>
      <w:r>
        <w:rPr>
          <w:rFonts w:ascii="IBM Plex Sans Light" w:eastAsia="Times New Roman" w:hAnsi="IBM Plex Sans Light" w:cs="Calibri Light"/>
        </w:rPr>
        <w:t>spécifique</w:t>
      </w:r>
      <w:r w:rsidRPr="00883284">
        <w:rPr>
          <w:rFonts w:ascii="IBM Plex Sans Light" w:eastAsia="Times New Roman" w:hAnsi="IBM Plex Sans Light" w:cs="Calibri Light"/>
        </w:rPr>
        <w:t xml:space="preserve">. </w:t>
      </w:r>
    </w:p>
    <w:p w14:paraId="31366A35" w14:textId="4E91F7DE" w:rsidR="00883284" w:rsidRPr="00883284" w:rsidRDefault="00883284" w:rsidP="00883284">
      <w:pPr>
        <w:spacing w:after="200" w:line="276" w:lineRule="auto"/>
        <w:jc w:val="both"/>
        <w:rPr>
          <w:rFonts w:ascii="IBM Plex Sans Light" w:eastAsia="Times New Roman" w:hAnsi="IBM Plex Sans Light" w:cs="Calibri Light"/>
        </w:rPr>
      </w:pPr>
      <w:r w:rsidRPr="00883284">
        <w:rPr>
          <w:rFonts w:ascii="IBM Plex Sans Light" w:eastAsia="Times New Roman" w:hAnsi="IBM Plex Sans Light" w:cs="Calibri Light"/>
        </w:rPr>
        <w:t xml:space="preserve">Le principe veut que lorsque des législations </w:t>
      </w:r>
      <w:r>
        <w:rPr>
          <w:rFonts w:ascii="IBM Plex Sans Light" w:eastAsia="Times New Roman" w:hAnsi="IBM Plex Sans Light" w:cs="Calibri Light"/>
        </w:rPr>
        <w:t>spécifiques</w:t>
      </w:r>
      <w:r w:rsidRPr="00883284">
        <w:rPr>
          <w:rFonts w:ascii="IBM Plex Sans Light" w:eastAsia="Times New Roman" w:hAnsi="IBM Plex Sans Light" w:cs="Calibri Light"/>
        </w:rPr>
        <w:t xml:space="preserve"> et générales réglementent une même matière, on fasse une application cumulative des règles. </w:t>
      </w:r>
    </w:p>
    <w:p w14:paraId="31FDC2B0" w14:textId="77777777" w:rsidR="009D2B86" w:rsidRDefault="00883284" w:rsidP="00883284">
      <w:pPr>
        <w:spacing w:after="200" w:line="276" w:lineRule="auto"/>
        <w:jc w:val="both"/>
        <w:rPr>
          <w:rFonts w:ascii="IBM Plex Sans Light" w:eastAsia="Times New Roman" w:hAnsi="IBM Plex Sans Light" w:cs="Calibri Light"/>
        </w:rPr>
      </w:pPr>
      <w:r w:rsidRPr="00883284">
        <w:rPr>
          <w:rFonts w:ascii="IBM Plex Sans Light" w:eastAsia="Times New Roman" w:hAnsi="IBM Plex Sans Light" w:cs="Calibri Light"/>
        </w:rPr>
        <w:t>En cas d’incompatibilité entre les réglementations empêchant ainsi une application cumulative, il convient d’appliquer en priorité la loi spéciale</w:t>
      </w:r>
      <w:r w:rsidRPr="00883284">
        <w:rPr>
          <w:rFonts w:ascii="IBM Plex Sans Light" w:eastAsia="Times New Roman" w:hAnsi="IBM Plex Sans Light" w:cs="Calibri Light"/>
          <w:vertAlign w:val="superscript"/>
        </w:rPr>
        <w:footnoteReference w:id="3"/>
      </w:r>
      <w:r w:rsidRPr="00883284">
        <w:rPr>
          <w:rFonts w:ascii="IBM Plex Sans Light" w:eastAsia="Times New Roman" w:hAnsi="IBM Plex Sans Light" w:cs="Calibri Light"/>
        </w:rPr>
        <w:t xml:space="preserve">. </w:t>
      </w:r>
    </w:p>
    <w:p w14:paraId="6B571EEF" w14:textId="46F865D9" w:rsidR="00883284" w:rsidRPr="009D2B86" w:rsidRDefault="00883284" w:rsidP="00883284">
      <w:pPr>
        <w:spacing w:after="200" w:line="276" w:lineRule="auto"/>
        <w:jc w:val="both"/>
        <w:rPr>
          <w:rFonts w:ascii="IBM Plex Sans Light" w:eastAsia="Times New Roman" w:hAnsi="IBM Plex Sans Light" w:cs="Calibri Light"/>
        </w:rPr>
      </w:pPr>
      <w:r w:rsidRPr="00883284">
        <w:rPr>
          <w:rFonts w:ascii="IBM Plex Sans Light" w:eastAsia="Times New Roman" w:hAnsi="IBM Plex Sans Light" w:cs="Calibri Light"/>
        </w:rPr>
        <w:lastRenderedPageBreak/>
        <w:t xml:space="preserve">Cependant, selon notre interprétation fondée sur </w:t>
      </w:r>
      <w:r w:rsidRPr="00883284">
        <w:rPr>
          <w:rFonts w:ascii="IBM Plex Sans Light" w:eastAsia="Times New Roman" w:hAnsi="IBM Plex Sans Light" w:cs="Calibri Light"/>
          <w:u w:val="single"/>
        </w:rPr>
        <w:t>l’arrêt de la Cour constitutionnelle du 9 juillet 2013</w:t>
      </w:r>
      <w:r w:rsidRPr="00883284">
        <w:rPr>
          <w:rFonts w:ascii="IBM Plex Sans Light" w:eastAsia="Times New Roman" w:hAnsi="IBM Plex Sans Light" w:cs="Calibri Light"/>
          <w:u w:val="single"/>
          <w:vertAlign w:val="superscript"/>
        </w:rPr>
        <w:footnoteReference w:id="4"/>
      </w:r>
      <w:r w:rsidR="009D2B86">
        <w:rPr>
          <w:rFonts w:ascii="IBM Plex Sans Light" w:eastAsia="Times New Roman" w:hAnsi="IBM Plex Sans Light" w:cs="Calibri Light"/>
        </w:rPr>
        <w:t xml:space="preserve">, </w:t>
      </w:r>
      <w:r w:rsidRPr="00883284">
        <w:rPr>
          <w:rFonts w:ascii="IBM Plex Sans Light" w:eastAsia="Times New Roman" w:hAnsi="IBM Plex Sans Light" w:cs="Calibri Light"/>
        </w:rPr>
        <w:t xml:space="preserve">les dispositions </w:t>
      </w:r>
      <w:r w:rsidR="0005172F">
        <w:rPr>
          <w:rFonts w:ascii="IBM Plex Sans Light" w:eastAsia="Times New Roman" w:hAnsi="IBM Plex Sans Light" w:cs="Calibri Light"/>
        </w:rPr>
        <w:t>spécifiques</w:t>
      </w:r>
      <w:r w:rsidRPr="00883284">
        <w:rPr>
          <w:rFonts w:ascii="IBM Plex Sans Light" w:eastAsia="Times New Roman" w:hAnsi="IBM Plex Sans Light" w:cs="Calibri Light"/>
          <w:color w:val="212529"/>
          <w:shd w:val="clear" w:color="auto" w:fill="FFFFFF"/>
        </w:rPr>
        <w:t xml:space="preserve"> en matière de recouvrement de dettes ne peuvent </w:t>
      </w:r>
      <w:r w:rsidRPr="00883284">
        <w:rPr>
          <w:rFonts w:ascii="IBM Plex Sans Light" w:eastAsia="Times New Roman" w:hAnsi="IBM Plex Sans Light" w:cs="Calibri Light"/>
          <w:b/>
          <w:color w:val="212529"/>
          <w:shd w:val="clear" w:color="auto" w:fill="FFFFFF"/>
        </w:rPr>
        <w:t>être contraires ou plus contraignantes</w:t>
      </w:r>
      <w:r w:rsidRPr="00883284">
        <w:rPr>
          <w:rFonts w:ascii="IBM Plex Sans Light" w:eastAsia="Times New Roman" w:hAnsi="IBM Plex Sans Light" w:cs="Calibri Light"/>
          <w:color w:val="212529"/>
          <w:shd w:val="clear" w:color="auto" w:fill="FFFFFF"/>
        </w:rPr>
        <w:t xml:space="preserve"> pour les consommateurs que les dispositions du livre XIX du Code de droit économique qui constitue le cadre normatif général :</w:t>
      </w:r>
    </w:p>
    <w:p w14:paraId="084AB203" w14:textId="77777777" w:rsidR="00883284" w:rsidRPr="00883284" w:rsidRDefault="00883284" w:rsidP="00883284">
      <w:pPr>
        <w:spacing w:before="200"/>
        <w:ind w:left="864" w:right="864"/>
        <w:jc w:val="both"/>
        <w:rPr>
          <w:rFonts w:ascii="Fira Sans" w:eastAsia="Fira Sans" w:hAnsi="Fira Sans" w:cs="Times New Roman"/>
          <w:i/>
          <w:iCs/>
          <w:color w:val="404040"/>
          <w:sz w:val="20"/>
          <w:szCs w:val="20"/>
        </w:rPr>
      </w:pPr>
      <w:r w:rsidRPr="00883284">
        <w:rPr>
          <w:rFonts w:ascii="Fira Sans" w:eastAsia="Fira Sans" w:hAnsi="Fira Sans" w:cs="Times New Roman"/>
          <w:i/>
          <w:iCs/>
          <w:color w:val="404040"/>
          <w:sz w:val="20"/>
          <w:szCs w:val="20"/>
        </w:rPr>
        <w:t xml:space="preserve"> « B.5.  L’autorité fédérale est habilitée à fixer les règles générales en matière de protection des consommateurs. Il résulte toutefois des éléments indiqués en B.4 que le législateur spécial a entendu offrir aux régions la faculté de soumettre les matières qui relèvent de leur </w:t>
      </w:r>
      <w:r w:rsidRPr="00883284">
        <w:rPr>
          <w:rFonts w:ascii="Fira Sans" w:eastAsia="Fira Sans" w:hAnsi="Fira Sans" w:cs="Times New Roman"/>
          <w:bCs/>
          <w:i/>
          <w:iCs/>
          <w:color w:val="404040"/>
          <w:sz w:val="20"/>
          <w:szCs w:val="20"/>
        </w:rPr>
        <w:t>compétence à des</w:t>
      </w:r>
      <w:r w:rsidRPr="00883284">
        <w:rPr>
          <w:rFonts w:ascii="Fira Sans" w:eastAsia="Fira Sans" w:hAnsi="Fira Sans" w:cs="Times New Roman"/>
          <w:b/>
          <w:i/>
          <w:iCs/>
          <w:color w:val="404040"/>
          <w:sz w:val="20"/>
          <w:szCs w:val="20"/>
        </w:rPr>
        <w:t xml:space="preserve"> conditions qualitatives supplémentaires</w:t>
      </w:r>
      <w:r w:rsidRPr="00883284">
        <w:rPr>
          <w:rFonts w:ascii="Fira Sans" w:eastAsia="Fira Sans" w:hAnsi="Fira Sans" w:cs="Times New Roman"/>
          <w:i/>
          <w:iCs/>
          <w:color w:val="404040"/>
          <w:sz w:val="20"/>
          <w:szCs w:val="20"/>
        </w:rPr>
        <w:t xml:space="preserve"> concernant la protection des consommateurs, dans le respect des principes économiques inscrits à l’article 6, § 1er, VI, alinéa 3 »</w:t>
      </w:r>
      <w:r w:rsidRPr="00883284">
        <w:rPr>
          <w:rFonts w:ascii="Fira Sans" w:eastAsia="Fira Sans" w:hAnsi="Fira Sans" w:cs="Times New Roman"/>
          <w:i/>
          <w:iCs/>
          <w:color w:val="404040"/>
          <w:sz w:val="20"/>
          <w:szCs w:val="20"/>
          <w:vertAlign w:val="superscript"/>
        </w:rPr>
        <w:footnoteReference w:id="5"/>
      </w:r>
      <w:r w:rsidRPr="00883284">
        <w:rPr>
          <w:rFonts w:ascii="Fira Sans" w:eastAsia="Fira Sans" w:hAnsi="Fira Sans" w:cs="Times New Roman"/>
          <w:i/>
          <w:iCs/>
          <w:color w:val="404040"/>
          <w:sz w:val="20"/>
          <w:szCs w:val="20"/>
        </w:rPr>
        <w:t xml:space="preserve">. </w:t>
      </w:r>
    </w:p>
    <w:p w14:paraId="349BC1E1" w14:textId="7C8FFE85" w:rsidR="00883284" w:rsidRPr="00883284" w:rsidRDefault="00883284" w:rsidP="00883284">
      <w:pPr>
        <w:spacing w:after="200" w:line="276" w:lineRule="auto"/>
        <w:jc w:val="both"/>
        <w:rPr>
          <w:rFonts w:ascii="IBM Plex Sans Light" w:eastAsia="Times New Roman" w:hAnsi="IBM Plex Sans Light" w:cs="Calibri Light"/>
        </w:rPr>
      </w:pPr>
      <w:r w:rsidRPr="00883284">
        <w:rPr>
          <w:rFonts w:ascii="IBM Plex Sans Light" w:eastAsia="Times New Roman" w:hAnsi="IBM Plex Sans Light" w:cs="Calibri Light"/>
        </w:rPr>
        <w:t xml:space="preserve">Autrement dit, en matière de recouvrement des factures </w:t>
      </w:r>
      <w:r>
        <w:rPr>
          <w:rFonts w:ascii="IBM Plex Sans Light" w:eastAsia="Times New Roman" w:hAnsi="IBM Plex Sans Light" w:cs="Calibri Light"/>
        </w:rPr>
        <w:t>de télécommunications</w:t>
      </w:r>
      <w:r w:rsidRPr="00883284">
        <w:rPr>
          <w:rFonts w:ascii="IBM Plex Sans Light" w:eastAsia="Times New Roman" w:hAnsi="IBM Plex Sans Light" w:cs="Calibri Light"/>
        </w:rPr>
        <w:t xml:space="preserve">, appliquer les dispositions de </w:t>
      </w:r>
      <w:r>
        <w:rPr>
          <w:rFonts w:ascii="IBM Plex Sans Light" w:eastAsia="Times New Roman" w:hAnsi="IBM Plex Sans Light" w:cs="Calibri Light"/>
        </w:rPr>
        <w:t>la Loi du 13 juin 2005</w:t>
      </w:r>
      <w:r w:rsidRPr="00883284">
        <w:rPr>
          <w:rFonts w:ascii="IBM Plex Sans Light" w:eastAsia="Times New Roman" w:hAnsi="IBM Plex Sans Light" w:cs="Calibri Light"/>
        </w:rPr>
        <w:t xml:space="preserve">, </w:t>
      </w:r>
      <w:r w:rsidR="00B90119">
        <w:rPr>
          <w:rFonts w:ascii="IBM Plex Sans Light" w:eastAsia="Times New Roman" w:hAnsi="IBM Plex Sans Light" w:cs="Calibri Light"/>
        </w:rPr>
        <w:t>si celles-ci</w:t>
      </w:r>
      <w:r w:rsidRPr="00883284">
        <w:rPr>
          <w:rFonts w:ascii="IBM Plex Sans Light" w:eastAsia="Times New Roman" w:hAnsi="IBM Plex Sans Light" w:cs="Calibri Light"/>
        </w:rPr>
        <w:t xml:space="preserve"> sont moins favorables au consommateur, reviendrait à vider de sa substance les dispositions du Livre XIX du CDE et à contredire la volonté exprimée par le législateur. Il ne peut être admis que des dispositions </w:t>
      </w:r>
      <w:r>
        <w:rPr>
          <w:rFonts w:ascii="IBM Plex Sans Light" w:eastAsia="Times New Roman" w:hAnsi="IBM Plex Sans Light" w:cs="Calibri Light"/>
        </w:rPr>
        <w:t>spécifiques</w:t>
      </w:r>
      <w:r w:rsidRPr="00883284">
        <w:rPr>
          <w:rFonts w:ascii="IBM Plex Sans Light" w:eastAsia="Times New Roman" w:hAnsi="IBM Plex Sans Light" w:cs="Calibri Light"/>
        </w:rPr>
        <w:t xml:space="preserve"> en matière de recouvrement de dettes puissent être moins contraignantes pour les créanciers que le cadre normatif général. </w:t>
      </w:r>
    </w:p>
    <w:p w14:paraId="5669B5B2" w14:textId="38CDD675" w:rsidR="00883284" w:rsidRPr="00883284" w:rsidRDefault="00883284" w:rsidP="00883284">
      <w:pPr>
        <w:spacing w:after="200" w:line="276" w:lineRule="auto"/>
        <w:jc w:val="both"/>
        <w:rPr>
          <w:rFonts w:ascii="IBM Plex Sans Light" w:eastAsia="Times New Roman" w:hAnsi="IBM Plex Sans Light" w:cs="Calibri Light"/>
        </w:rPr>
      </w:pPr>
      <w:r w:rsidRPr="00883284">
        <w:rPr>
          <w:rFonts w:ascii="IBM Plex Sans Light" w:eastAsia="Times New Roman" w:hAnsi="IBM Plex Sans Light" w:cs="Calibri Light"/>
          <w:b/>
        </w:rPr>
        <w:t>En conclusion,</w:t>
      </w:r>
      <w:r w:rsidRPr="00883284">
        <w:rPr>
          <w:rFonts w:ascii="IBM Plex Sans Light" w:eastAsia="Times New Roman" w:hAnsi="IBM Plex Sans Light" w:cs="Calibri Light"/>
        </w:rPr>
        <w:t xml:space="preserve"> lorsque deux législations</w:t>
      </w:r>
      <w:r>
        <w:rPr>
          <w:rFonts w:ascii="IBM Plex Sans Light" w:eastAsia="Times New Roman" w:hAnsi="IBM Plex Sans Light" w:cs="Calibri Light"/>
        </w:rPr>
        <w:t xml:space="preserve"> </w:t>
      </w:r>
      <w:r w:rsidRPr="00883284">
        <w:rPr>
          <w:rFonts w:ascii="IBM Plex Sans Light" w:eastAsia="Times New Roman" w:hAnsi="IBM Plex Sans Light" w:cs="Calibri Light"/>
        </w:rPr>
        <w:t>règlent des matières similaires, il faut faire une application cumulative des deux législations quand c’est possible. En cas d’incompatibilité entre ces règles, il faut donner la priorité aux dispositions prévoyant le cadre le plus protecteur pour le consommateur.</w:t>
      </w:r>
    </w:p>
    <w:p w14:paraId="306C4927" w14:textId="77777777" w:rsidR="00883284" w:rsidRPr="00883284" w:rsidRDefault="00883284" w:rsidP="00883284">
      <w:pPr>
        <w:numPr>
          <w:ilvl w:val="0"/>
          <w:numId w:val="2"/>
        </w:numPr>
        <w:spacing w:after="200" w:line="276" w:lineRule="auto"/>
        <w:ind w:left="851"/>
        <w:jc w:val="both"/>
        <w:rPr>
          <w:rFonts w:ascii="IBM Plex Sans Light" w:eastAsia="Times New Roman" w:hAnsi="IBM Plex Sans Light" w:cs="Calibri Light"/>
          <w:b/>
        </w:rPr>
      </w:pPr>
      <w:r w:rsidRPr="00883284">
        <w:rPr>
          <w:rFonts w:ascii="IBM Plex Sans Light" w:eastAsia="Times New Roman" w:hAnsi="IBM Plex Sans Light" w:cs="Calibri Light"/>
          <w:b/>
        </w:rPr>
        <w:t xml:space="preserve">Conclusion : application au cas d’espèce </w:t>
      </w:r>
    </w:p>
    <w:p w14:paraId="453F2EB1" w14:textId="3B243259" w:rsidR="00883284" w:rsidRDefault="00883284" w:rsidP="00883284">
      <w:pPr>
        <w:spacing w:after="200" w:line="276" w:lineRule="auto"/>
        <w:jc w:val="both"/>
        <w:rPr>
          <w:rFonts w:ascii="IBM Plex Sans Light" w:eastAsia="Times New Roman" w:hAnsi="IBM Plex Sans Light" w:cs="Calibri Light"/>
        </w:rPr>
      </w:pPr>
      <w:r w:rsidRPr="00883284">
        <w:rPr>
          <w:rFonts w:ascii="IBM Plex Sans Light" w:eastAsia="Times New Roman" w:hAnsi="IBM Plex Sans Light" w:cs="Calibri Light"/>
        </w:rPr>
        <w:t xml:space="preserve">Compte tenu de ce qui précède, en cas de factures </w:t>
      </w:r>
      <w:r>
        <w:rPr>
          <w:rFonts w:ascii="IBM Plex Sans Light" w:eastAsia="Times New Roman" w:hAnsi="IBM Plex Sans Light" w:cs="Calibri Light"/>
        </w:rPr>
        <w:t>de télécommunications</w:t>
      </w:r>
      <w:r w:rsidRPr="00883284">
        <w:rPr>
          <w:rFonts w:ascii="IBM Plex Sans Light" w:eastAsia="Times New Roman" w:hAnsi="IBM Plex Sans Light" w:cs="Calibri Light"/>
        </w:rPr>
        <w:t>, le consommateur a droit, pour les trois premières échéances impayées</w:t>
      </w:r>
      <w:r>
        <w:rPr>
          <w:rFonts w:ascii="IBM Plex Sans Light" w:eastAsia="Times New Roman" w:hAnsi="IBM Plex Sans Light" w:cs="Calibri Light"/>
        </w:rPr>
        <w:t xml:space="preserve"> par année calendrier</w:t>
      </w:r>
      <w:r w:rsidRPr="00883284">
        <w:rPr>
          <w:rFonts w:ascii="IBM Plex Sans Light" w:eastAsia="Times New Roman" w:hAnsi="IBM Plex Sans Light" w:cs="Calibri Light"/>
        </w:rPr>
        <w:t xml:space="preserve">, à un </w:t>
      </w:r>
      <w:r w:rsidRPr="00883284">
        <w:rPr>
          <w:rFonts w:ascii="IBM Plex Sans Light" w:eastAsia="Times New Roman" w:hAnsi="IBM Plex Sans Light" w:cs="Calibri Light"/>
          <w:b/>
        </w:rPr>
        <w:t>premier rappel gratuit</w:t>
      </w:r>
      <w:r w:rsidRPr="00883284">
        <w:rPr>
          <w:rFonts w:ascii="IBM Plex Sans Light" w:eastAsia="Times New Roman" w:hAnsi="IBM Plex Sans Light" w:cs="Calibri Light"/>
        </w:rPr>
        <w:t xml:space="preserve">, </w:t>
      </w:r>
      <w:r>
        <w:rPr>
          <w:rFonts w:ascii="IBM Plex Sans Light" w:eastAsia="Times New Roman" w:hAnsi="IBM Plex Sans Light" w:cs="Calibri Light"/>
        </w:rPr>
        <w:t>sur pied de l’article XIX.2 du Code de droit économique</w:t>
      </w:r>
      <w:r w:rsidRPr="00883284">
        <w:rPr>
          <w:rFonts w:ascii="IBM Plex Sans Light" w:eastAsia="Times New Roman" w:hAnsi="IBM Plex Sans Light" w:cs="Calibri Light"/>
        </w:rPr>
        <w:t xml:space="preserve">. Les rappels ultérieurs ne peuvent être facturés qu’à concurrence de </w:t>
      </w:r>
      <w:r>
        <w:rPr>
          <w:rFonts w:ascii="IBM Plex Sans Light" w:eastAsia="Times New Roman" w:hAnsi="IBM Plex Sans Light" w:cs="Calibri Light"/>
        </w:rPr>
        <w:t>7.</w:t>
      </w:r>
      <w:r w:rsidRPr="00883284">
        <w:rPr>
          <w:rFonts w:ascii="IBM Plex Sans Light" w:eastAsia="Times New Roman" w:hAnsi="IBM Plex Sans Light" w:cs="Calibri Light"/>
        </w:rPr>
        <w:t xml:space="preserve">5€ (+ frais postaux) en vertu de </w:t>
      </w:r>
      <w:r>
        <w:rPr>
          <w:rFonts w:ascii="IBM Plex Sans Light" w:eastAsia="Times New Roman" w:hAnsi="IBM Plex Sans Light" w:cs="Calibri Light"/>
        </w:rPr>
        <w:t xml:space="preserve">ce même article. </w:t>
      </w:r>
    </w:p>
    <w:p w14:paraId="23EF07C1" w14:textId="2D929860" w:rsidR="00883284" w:rsidRPr="00883284" w:rsidRDefault="00883284" w:rsidP="00883284">
      <w:pPr>
        <w:spacing w:after="200" w:line="276" w:lineRule="auto"/>
        <w:jc w:val="both"/>
        <w:rPr>
          <w:rFonts w:ascii="IBM Plex Sans Light" w:eastAsia="Times New Roman" w:hAnsi="IBM Plex Sans Light" w:cs="Calibri Light"/>
        </w:rPr>
      </w:pPr>
      <w:r>
        <w:rPr>
          <w:rFonts w:ascii="IBM Plex Sans Light" w:eastAsia="Times New Roman" w:hAnsi="IBM Plex Sans Light" w:cs="Calibri Light"/>
        </w:rPr>
        <w:t xml:space="preserve">La mise en demeure </w:t>
      </w:r>
      <w:r w:rsidRPr="00883284">
        <w:rPr>
          <w:rFonts w:ascii="IBM Plex Sans Light" w:eastAsia="Times New Roman" w:hAnsi="IBM Plex Sans Light" w:cs="Calibri Light"/>
        </w:rPr>
        <w:t>constitue en réalité un rappel au sens du CDE et ne peut être facturée qu’au maximum à 7,50€</w:t>
      </w:r>
      <w:r>
        <w:rPr>
          <w:rFonts w:ascii="IBM Plex Sans Light" w:eastAsia="Times New Roman" w:hAnsi="IBM Plex Sans Light" w:cs="Calibri Light"/>
        </w:rPr>
        <w:t xml:space="preserve"> (+ frais postaux).</w:t>
      </w:r>
    </w:p>
    <w:p w14:paraId="652491BE" w14:textId="76AC5346" w:rsidR="00883284" w:rsidRPr="00883284" w:rsidRDefault="00883284" w:rsidP="00883284">
      <w:pPr>
        <w:spacing w:after="200" w:line="276" w:lineRule="auto"/>
        <w:jc w:val="both"/>
        <w:rPr>
          <w:rFonts w:ascii="IBM Plex Sans Light" w:eastAsia="Times New Roman" w:hAnsi="IBM Plex Sans Light" w:cs="Calibri Light"/>
        </w:rPr>
      </w:pPr>
      <w:r w:rsidRPr="00883284">
        <w:rPr>
          <w:rFonts w:ascii="IBM Plex Sans Light" w:eastAsia="Times New Roman" w:hAnsi="IBM Plex Sans Light" w:cs="Calibri Light"/>
        </w:rPr>
        <w:t xml:space="preserve">Eu égard à ce qui précède, l’incontestablement dû s’élève donc à la somme de </w:t>
      </w:r>
      <w:r w:rsidRPr="00883284">
        <w:rPr>
          <w:rFonts w:ascii="IBM Plex Sans Light" w:eastAsia="Times New Roman" w:hAnsi="IBM Plex Sans Light" w:cs="Calibri Light"/>
          <w:highlight w:val="darkCyan"/>
        </w:rPr>
        <w:t>XXX EUR</w:t>
      </w:r>
      <w:r w:rsidRPr="00883284">
        <w:rPr>
          <w:rFonts w:ascii="IBM Plex Sans Light" w:eastAsia="Times New Roman" w:hAnsi="IBM Plex Sans Light" w:cs="Calibri Light"/>
        </w:rPr>
        <w:t xml:space="preserve">. Nous vous remercions de bien vouloir adapter votre décompte en ce sens et à nous le renvoyer. </w:t>
      </w:r>
    </w:p>
    <w:p w14:paraId="4994A35F" w14:textId="77777777" w:rsidR="00883284" w:rsidRPr="00883284" w:rsidRDefault="00883284" w:rsidP="00883284">
      <w:pPr>
        <w:spacing w:after="200" w:line="276" w:lineRule="auto"/>
        <w:jc w:val="both"/>
        <w:rPr>
          <w:rFonts w:ascii="IBM Plex Sans Light" w:eastAsia="Times New Roman" w:hAnsi="IBM Plex Sans Light" w:cs="Calibri Light"/>
        </w:rPr>
      </w:pPr>
      <w:r w:rsidRPr="00883284">
        <w:rPr>
          <w:rFonts w:ascii="IBM Plex Sans Light" w:eastAsia="Times New Roman" w:hAnsi="IBM Plex Sans Light" w:cs="Calibri Light"/>
        </w:rPr>
        <w:t xml:space="preserve">En tout état de cause, la somme susmentionnée de </w:t>
      </w:r>
      <w:r w:rsidRPr="00883284">
        <w:rPr>
          <w:rFonts w:ascii="IBM Plex Sans Light" w:eastAsia="Times New Roman" w:hAnsi="IBM Plex Sans Light" w:cs="Calibri Light"/>
          <w:highlight w:val="darkCyan"/>
        </w:rPr>
        <w:t>XXX EUR</w:t>
      </w:r>
      <w:r w:rsidRPr="00883284">
        <w:rPr>
          <w:rFonts w:ascii="IBM Plex Sans Light" w:eastAsia="Times New Roman" w:hAnsi="IBM Plex Sans Light" w:cs="Calibri Light"/>
        </w:rPr>
        <w:t> </w:t>
      </w:r>
      <w:r w:rsidRPr="00883284">
        <w:rPr>
          <w:rFonts w:ascii="IBM Plex Sans Light" w:eastAsia="Times New Roman" w:hAnsi="IBM Plex Sans Light" w:cs="Calibri Light"/>
          <w:highlight w:val="darkCyan"/>
        </w:rPr>
        <w:t>(CHOISIR L’OPTION)</w:t>
      </w:r>
      <w:r w:rsidRPr="00883284">
        <w:rPr>
          <w:rFonts w:ascii="IBM Plex Sans Light" w:eastAsia="Times New Roman" w:hAnsi="IBM Plex Sans Light" w:cs="Calibri Light"/>
        </w:rPr>
        <w:t xml:space="preserve"> : </w:t>
      </w:r>
    </w:p>
    <w:p w14:paraId="664C573D" w14:textId="77777777" w:rsidR="00883284" w:rsidRPr="00883284" w:rsidRDefault="00883284" w:rsidP="00883284">
      <w:pPr>
        <w:numPr>
          <w:ilvl w:val="0"/>
          <w:numId w:val="3"/>
        </w:numPr>
        <w:spacing w:after="200" w:line="276" w:lineRule="auto"/>
        <w:jc w:val="both"/>
        <w:rPr>
          <w:rFonts w:ascii="IBM Plex Sans Light" w:eastAsia="Times New Roman" w:hAnsi="IBM Plex Sans Light" w:cs="Calibri Light"/>
          <w:highlight w:val="darkCyan"/>
        </w:rPr>
      </w:pPr>
      <w:r w:rsidRPr="00883284">
        <w:rPr>
          <w:rFonts w:ascii="IBM Plex Sans Light" w:eastAsia="Times New Roman" w:hAnsi="IBM Plex Sans Light" w:cs="Calibri Light"/>
          <w:highlight w:val="darkCyan"/>
        </w:rPr>
        <w:t xml:space="preserve">Serait payée en une seule fois en date du XXX </w:t>
      </w:r>
    </w:p>
    <w:p w14:paraId="19BBB64C" w14:textId="77777777" w:rsidR="00883284" w:rsidRPr="00883284" w:rsidRDefault="00883284" w:rsidP="00883284">
      <w:pPr>
        <w:numPr>
          <w:ilvl w:val="0"/>
          <w:numId w:val="3"/>
        </w:numPr>
        <w:spacing w:after="200" w:line="276" w:lineRule="auto"/>
        <w:jc w:val="both"/>
        <w:rPr>
          <w:rFonts w:ascii="IBM Plex Sans Light" w:eastAsia="Times New Roman" w:hAnsi="IBM Plex Sans Light" w:cs="Calibri Light"/>
          <w:highlight w:val="darkCyan"/>
        </w:rPr>
      </w:pPr>
      <w:r w:rsidRPr="00883284">
        <w:rPr>
          <w:rFonts w:ascii="IBM Plex Sans Light" w:eastAsia="Times New Roman" w:hAnsi="IBM Plex Sans Light" w:cs="Calibri Light"/>
          <w:highlight w:val="darkCyan"/>
        </w:rPr>
        <w:t>Doit faire l’objet d’un plan de paiement à concurrence de XXX €/mois à partir du XXX.</w:t>
      </w:r>
    </w:p>
    <w:p w14:paraId="514D541B" w14:textId="77777777" w:rsidR="00883284" w:rsidRPr="00883284" w:rsidRDefault="00883284" w:rsidP="00883284">
      <w:pPr>
        <w:jc w:val="both"/>
        <w:rPr>
          <w:rFonts w:ascii="IBM Plex Sans Light" w:eastAsia="Fira Sans" w:hAnsi="IBM Plex Sans Light" w:cs="Times New Roman"/>
        </w:rPr>
      </w:pPr>
      <w:r w:rsidRPr="00883284">
        <w:rPr>
          <w:rFonts w:ascii="IBM Plex Sans Light" w:eastAsia="Fira Sans" w:hAnsi="IBM Plex Sans Light" w:cs="Calibri Light"/>
        </w:rPr>
        <w:t xml:space="preserve">Nous vous remercions d’avance de la suite que vous réserverez à la présente, </w:t>
      </w:r>
      <w:r w:rsidRPr="00883284">
        <w:rPr>
          <w:rFonts w:ascii="IBM Plex Sans Light" w:eastAsia="Fira Sans" w:hAnsi="IBM Plex Sans Light" w:cs="Times New Roman"/>
        </w:rPr>
        <w:t xml:space="preserve">laquelle vous est adressée sous toutes réserves généralement quelconques et sans reconnaissance préjudiciable. </w:t>
      </w:r>
    </w:p>
    <w:p w14:paraId="0AEDB7E3" w14:textId="4C03A78E" w:rsidR="00883284" w:rsidRPr="00883284" w:rsidRDefault="00883284" w:rsidP="00883284">
      <w:pPr>
        <w:jc w:val="both"/>
        <w:rPr>
          <w:rFonts w:ascii="IBM Plex Sans Light" w:eastAsia="Fira Sans" w:hAnsi="IBM Plex Sans Light" w:cs="Times New Roman"/>
        </w:rPr>
      </w:pPr>
      <w:r w:rsidRPr="00883284">
        <w:rPr>
          <w:rFonts w:ascii="IBM Plex Sans Light" w:eastAsia="Fira Sans" w:hAnsi="IBM Plex Sans Light" w:cs="Times New Roman"/>
        </w:rPr>
        <w:t xml:space="preserve">Je vous prie d’agréer, Madame, Monsieur, Maître, l’assurance de nos sentiments distingués. </w:t>
      </w:r>
    </w:p>
    <w:p w14:paraId="275A7767" w14:textId="00C9541F" w:rsidR="00DC66BB" w:rsidRDefault="00883284" w:rsidP="00B90119">
      <w:pPr>
        <w:jc w:val="right"/>
      </w:pPr>
      <w:r w:rsidRPr="00883284">
        <w:rPr>
          <w:rFonts w:ascii="IBM Plex Sans Light" w:eastAsia="Fira Sans" w:hAnsi="IBM Plex Sans Light" w:cs="Times New Roman"/>
          <w:highlight w:val="darkCyan"/>
        </w:rPr>
        <w:t>SIGNATURE</w:t>
      </w:r>
      <w:bookmarkStart w:id="0" w:name="_GoBack"/>
      <w:bookmarkEnd w:id="0"/>
    </w:p>
    <w:sectPr w:rsidR="00DC66BB" w:rsidSect="008056EF">
      <w:headerReference w:type="default" r:id="rId7"/>
      <w:footerReference w:type="default" r:id="rId8"/>
      <w:footerReference w:type="first" r:id="rId9"/>
      <w:pgSz w:w="11906" w:h="16838"/>
      <w:pgMar w:top="1417" w:right="1417" w:bottom="1417" w:left="1417" w:header="709"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57884" w14:textId="77777777" w:rsidR="00883284" w:rsidRDefault="00883284" w:rsidP="00883284">
      <w:pPr>
        <w:spacing w:after="0" w:line="240" w:lineRule="auto"/>
      </w:pPr>
      <w:r>
        <w:separator/>
      </w:r>
    </w:p>
  </w:endnote>
  <w:endnote w:type="continuationSeparator" w:id="0">
    <w:p w14:paraId="3E2106F8" w14:textId="77777777" w:rsidR="00883284" w:rsidRDefault="00883284" w:rsidP="00883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BM Plex Sans Light">
    <w:altName w:val="Calibri"/>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393145"/>
      <w:docPartObj>
        <w:docPartGallery w:val="Page Numbers (Bottom of Page)"/>
        <w:docPartUnique/>
      </w:docPartObj>
    </w:sdtPr>
    <w:sdtEndPr/>
    <w:sdtContent>
      <w:p w14:paraId="55BA4D0C" w14:textId="77777777" w:rsidR="00406A37" w:rsidRDefault="000B2BF4">
        <w:pPr>
          <w:pStyle w:val="Pieddepage"/>
          <w:jc w:val="right"/>
        </w:pPr>
        <w:r>
          <w:fldChar w:fldCharType="begin"/>
        </w:r>
        <w:r>
          <w:instrText>PAGE   \* MERGEFORMAT</w:instrText>
        </w:r>
        <w:r>
          <w:fldChar w:fldCharType="separate"/>
        </w:r>
        <w:r>
          <w:rPr>
            <w:lang w:val="fr-FR"/>
          </w:rPr>
          <w:t>2</w:t>
        </w:r>
        <w:r>
          <w:fldChar w:fldCharType="end"/>
        </w:r>
      </w:p>
    </w:sdtContent>
  </w:sdt>
  <w:p w14:paraId="672AA724" w14:textId="77777777" w:rsidR="001559BD" w:rsidRDefault="00B90119" w:rsidP="00712EC4">
    <w:pPr>
      <w:pStyle w:val="Pieddepage"/>
      <w:tabs>
        <w:tab w:val="clear" w:pos="4513"/>
        <w:tab w:val="left" w:pos="2340"/>
      </w:tabs>
      <w:spacing w:before="24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201080"/>
      <w:docPartObj>
        <w:docPartGallery w:val="Page Numbers (Bottom of Page)"/>
        <w:docPartUnique/>
      </w:docPartObj>
    </w:sdtPr>
    <w:sdtEndPr/>
    <w:sdtContent>
      <w:p w14:paraId="3D090B54" w14:textId="77777777" w:rsidR="009D51A7" w:rsidRDefault="000B2BF4">
        <w:pPr>
          <w:pStyle w:val="Pieddepage"/>
          <w:jc w:val="right"/>
        </w:pPr>
        <w:r>
          <w:fldChar w:fldCharType="begin"/>
        </w:r>
        <w:r>
          <w:instrText>PAGE   \* MERGEFORMAT</w:instrText>
        </w:r>
        <w:r>
          <w:fldChar w:fldCharType="separate"/>
        </w:r>
        <w:r>
          <w:rPr>
            <w:lang w:val="fr-FR"/>
          </w:rPr>
          <w:t>2</w:t>
        </w:r>
        <w:r>
          <w:fldChar w:fldCharType="end"/>
        </w:r>
      </w:p>
    </w:sdtContent>
  </w:sdt>
  <w:p w14:paraId="1F046518" w14:textId="77777777" w:rsidR="00EF57B9" w:rsidRDefault="00B90119" w:rsidP="009D51A7">
    <w:pPr>
      <w:pStyle w:val="Pieddepage"/>
      <w:tabs>
        <w:tab w:val="clear" w:pos="4513"/>
        <w:tab w:val="left" w:pos="2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23B48" w14:textId="77777777" w:rsidR="00883284" w:rsidRDefault="00883284" w:rsidP="00883284">
      <w:pPr>
        <w:spacing w:after="0" w:line="240" w:lineRule="auto"/>
      </w:pPr>
      <w:r>
        <w:separator/>
      </w:r>
    </w:p>
  </w:footnote>
  <w:footnote w:type="continuationSeparator" w:id="0">
    <w:p w14:paraId="7DCC94F0" w14:textId="77777777" w:rsidR="00883284" w:rsidRDefault="00883284" w:rsidP="00883284">
      <w:pPr>
        <w:spacing w:after="0" w:line="240" w:lineRule="auto"/>
      </w:pPr>
      <w:r>
        <w:continuationSeparator/>
      </w:r>
    </w:p>
  </w:footnote>
  <w:footnote w:id="1">
    <w:p w14:paraId="394557B6" w14:textId="77777777" w:rsidR="00883284" w:rsidRPr="00352520" w:rsidRDefault="00883284" w:rsidP="00883284">
      <w:pPr>
        <w:pStyle w:val="Notedebasdepage1"/>
        <w:rPr>
          <w:lang w:val="fr-FR"/>
        </w:rPr>
      </w:pPr>
      <w:r>
        <w:rPr>
          <w:rStyle w:val="Appelnotedebasdep"/>
        </w:rPr>
        <w:footnoteRef/>
      </w:r>
      <w:r>
        <w:t xml:space="preserve"> </w:t>
      </w:r>
      <w:r w:rsidRPr="005D4FAE">
        <w:rPr>
          <w:sz w:val="16"/>
          <w:szCs w:val="16"/>
          <w:lang w:val="fr-FR"/>
        </w:rPr>
        <w:t>Art. XIX.2 §1</w:t>
      </w:r>
      <w:r w:rsidRPr="005D4FAE">
        <w:rPr>
          <w:sz w:val="16"/>
          <w:szCs w:val="16"/>
          <w:vertAlign w:val="superscript"/>
          <w:lang w:val="fr-FR"/>
        </w:rPr>
        <w:t>er</w:t>
      </w:r>
      <w:r w:rsidRPr="005D4FAE">
        <w:rPr>
          <w:sz w:val="16"/>
          <w:szCs w:val="16"/>
          <w:lang w:val="fr-FR"/>
        </w:rPr>
        <w:t xml:space="preserve"> du CDE.</w:t>
      </w:r>
    </w:p>
  </w:footnote>
  <w:footnote w:id="2">
    <w:p w14:paraId="3442BCFB" w14:textId="77777777" w:rsidR="00883284" w:rsidRPr="004C6173" w:rsidRDefault="00883284" w:rsidP="00883284">
      <w:pPr>
        <w:pStyle w:val="Notedebasdepage1"/>
        <w:rPr>
          <w:lang w:val="fr-FR"/>
        </w:rPr>
      </w:pPr>
      <w:r>
        <w:rPr>
          <w:rStyle w:val="Appelnotedebasdep"/>
        </w:rPr>
        <w:footnoteRef/>
      </w:r>
      <w:r>
        <w:t xml:space="preserve"> </w:t>
      </w:r>
      <w:r w:rsidRPr="005D4FAE">
        <w:rPr>
          <w:sz w:val="16"/>
          <w:szCs w:val="16"/>
          <w:lang w:val="fr-FR"/>
        </w:rPr>
        <w:t>Art. XIX.2 §2 du CDE.</w:t>
      </w:r>
    </w:p>
    <w:p w14:paraId="7F58B72E" w14:textId="77777777" w:rsidR="00883284" w:rsidRPr="00352520" w:rsidRDefault="00883284" w:rsidP="00883284">
      <w:pPr>
        <w:pStyle w:val="Notedebasdepage1"/>
        <w:rPr>
          <w:lang w:val="fr-FR"/>
        </w:rPr>
      </w:pPr>
      <w:r>
        <w:rPr>
          <w:lang w:val="fr-FR"/>
        </w:rPr>
        <w:t xml:space="preserve"> </w:t>
      </w:r>
    </w:p>
  </w:footnote>
  <w:footnote w:id="3">
    <w:p w14:paraId="0978634A" w14:textId="77777777" w:rsidR="00883284" w:rsidRPr="000C5A17" w:rsidRDefault="00883284" w:rsidP="00883284">
      <w:pPr>
        <w:pStyle w:val="Notedebasdepage1"/>
        <w:rPr>
          <w:sz w:val="16"/>
          <w:szCs w:val="16"/>
          <w:lang w:val="fr-FR"/>
        </w:rPr>
      </w:pPr>
      <w:r>
        <w:rPr>
          <w:rStyle w:val="Appelnotedebasdep"/>
        </w:rPr>
        <w:footnoteRef/>
      </w:r>
      <w:r>
        <w:t xml:space="preserve"> </w:t>
      </w:r>
      <w:r w:rsidRPr="000C5A17">
        <w:rPr>
          <w:sz w:val="16"/>
          <w:szCs w:val="16"/>
          <w:lang w:val="fr-FR"/>
        </w:rPr>
        <w:t>Sur base du principe de droit selon lequel la « </w:t>
      </w:r>
      <w:r w:rsidRPr="000C5A17">
        <w:rPr>
          <w:i/>
          <w:sz w:val="16"/>
          <w:szCs w:val="16"/>
          <w:lang w:val="fr-FR"/>
        </w:rPr>
        <w:t>loi spéciale prime sur la loi générale</w:t>
      </w:r>
      <w:r w:rsidRPr="000C5A17">
        <w:rPr>
          <w:sz w:val="16"/>
          <w:szCs w:val="16"/>
          <w:lang w:val="fr-FR"/>
        </w:rPr>
        <w:t xml:space="preserve"> ». </w:t>
      </w:r>
    </w:p>
  </w:footnote>
  <w:footnote w:id="4">
    <w:p w14:paraId="6A85BFDC" w14:textId="77777777" w:rsidR="00883284" w:rsidRPr="000C5A17" w:rsidRDefault="00883284" w:rsidP="00883284">
      <w:pPr>
        <w:pStyle w:val="Notedebasdepage1"/>
        <w:rPr>
          <w:sz w:val="16"/>
          <w:szCs w:val="16"/>
          <w:lang w:val="fr-FR"/>
        </w:rPr>
      </w:pPr>
      <w:r w:rsidRPr="000C5A17">
        <w:rPr>
          <w:rStyle w:val="Appelnotedebasdep"/>
        </w:rPr>
        <w:footnoteRef/>
      </w:r>
      <w:r w:rsidRPr="000C5A17">
        <w:t xml:space="preserve"> </w:t>
      </w:r>
      <w:r w:rsidRPr="000C5A17">
        <w:rPr>
          <w:sz w:val="16"/>
          <w:szCs w:val="16"/>
        </w:rPr>
        <w:t xml:space="preserve">C. Const., 9 juillet 2013, n° 101/2013 disponible sur : </w:t>
      </w:r>
      <w:hyperlink r:id="rId1" w:history="1">
        <w:r w:rsidRPr="000C5A17">
          <w:rPr>
            <w:rStyle w:val="Lienhypertexte1"/>
            <w:sz w:val="16"/>
            <w:szCs w:val="16"/>
          </w:rPr>
          <w:t>https://www.const-court.be/public/f/2013/2013-101f.pdf</w:t>
        </w:r>
      </w:hyperlink>
      <w:r w:rsidRPr="000C5A17">
        <w:rPr>
          <w:sz w:val="16"/>
          <w:szCs w:val="16"/>
        </w:rPr>
        <w:t xml:space="preserve">   </w:t>
      </w:r>
    </w:p>
  </w:footnote>
  <w:footnote w:id="5">
    <w:p w14:paraId="281E3AAF" w14:textId="77777777" w:rsidR="00883284" w:rsidRPr="00404D17" w:rsidRDefault="00883284" w:rsidP="00883284">
      <w:pPr>
        <w:pStyle w:val="Notedebasdepage1"/>
        <w:rPr>
          <w:sz w:val="18"/>
          <w:szCs w:val="18"/>
        </w:rPr>
      </w:pPr>
      <w:r w:rsidRPr="000C5A17">
        <w:rPr>
          <w:rStyle w:val="Appelnotedebasdep"/>
        </w:rPr>
        <w:footnoteRef/>
      </w:r>
      <w:r w:rsidRPr="000C5A17">
        <w:rPr>
          <w:sz w:val="16"/>
          <w:szCs w:val="16"/>
        </w:rPr>
        <w:t xml:space="preserve"> </w:t>
      </w:r>
      <w:r w:rsidRPr="000C5A17">
        <w:rPr>
          <w:i/>
          <w:sz w:val="16"/>
          <w:szCs w:val="16"/>
        </w:rPr>
        <w:t>Ibidem</w:t>
      </w:r>
      <w:r w:rsidRPr="000C5A17">
        <w:rPr>
          <w:sz w:val="16"/>
          <w:szCs w:val="16"/>
        </w:rPr>
        <w:t>.</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044C" w14:textId="77777777" w:rsidR="00DB6670" w:rsidRDefault="00B90119" w:rsidP="00B05DF6"/>
  <w:p w14:paraId="56B79E57" w14:textId="77777777" w:rsidR="00DB6670" w:rsidRDefault="00B90119" w:rsidP="00B05D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72A93"/>
    <w:multiLevelType w:val="hybridMultilevel"/>
    <w:tmpl w:val="E3143928"/>
    <w:lvl w:ilvl="0" w:tplc="080C0009">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218D58AA"/>
    <w:multiLevelType w:val="hybridMultilevel"/>
    <w:tmpl w:val="FBE2D27E"/>
    <w:lvl w:ilvl="0" w:tplc="080C0009">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3BE86EBC"/>
    <w:multiLevelType w:val="hybridMultilevel"/>
    <w:tmpl w:val="E01E942C"/>
    <w:lvl w:ilvl="0" w:tplc="F84AC988">
      <w:start w:val="3"/>
      <w:numFmt w:val="bullet"/>
      <w:lvlText w:val="-"/>
      <w:lvlJc w:val="left"/>
      <w:pPr>
        <w:ind w:left="720" w:hanging="360"/>
      </w:pPr>
      <w:rPr>
        <w:rFonts w:ascii="IBM Plex Sans Light" w:eastAsia="Times New Roman" w:hAnsi="IBM Plex Sans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84"/>
    <w:rsid w:val="0005172F"/>
    <w:rsid w:val="000B2BF4"/>
    <w:rsid w:val="001E60D6"/>
    <w:rsid w:val="00883284"/>
    <w:rsid w:val="009D2B86"/>
    <w:rsid w:val="00B90119"/>
    <w:rsid w:val="00DC66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C799"/>
  <w15:chartTrackingRefBased/>
  <w15:docId w15:val="{79CA8485-4957-4FB6-B6DC-3C6059C0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883284"/>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883284"/>
  </w:style>
  <w:style w:type="character" w:customStyle="1" w:styleId="Lienhypertexte1">
    <w:name w:val="Lien hypertexte1"/>
    <w:basedOn w:val="Policepardfaut"/>
    <w:uiPriority w:val="99"/>
    <w:unhideWhenUsed/>
    <w:rsid w:val="00883284"/>
    <w:rPr>
      <w:color w:val="2A628F"/>
      <w:u w:val="single"/>
    </w:rPr>
  </w:style>
  <w:style w:type="paragraph" w:customStyle="1" w:styleId="Notedebasdepage1">
    <w:name w:val="Note de bas de page1"/>
    <w:basedOn w:val="Normal"/>
    <w:next w:val="Notedebasdepage"/>
    <w:link w:val="NotedebasdepageCar"/>
    <w:uiPriority w:val="99"/>
    <w:unhideWhenUsed/>
    <w:rsid w:val="00883284"/>
    <w:pPr>
      <w:spacing w:after="0" w:line="240" w:lineRule="auto"/>
    </w:pPr>
    <w:rPr>
      <w:sz w:val="20"/>
      <w:szCs w:val="20"/>
    </w:rPr>
  </w:style>
  <w:style w:type="character" w:customStyle="1" w:styleId="NotedebasdepageCar">
    <w:name w:val="Note de bas de page Car"/>
    <w:basedOn w:val="Policepardfaut"/>
    <w:link w:val="Notedebasdepage1"/>
    <w:uiPriority w:val="99"/>
    <w:rsid w:val="00883284"/>
    <w:rPr>
      <w:sz w:val="20"/>
      <w:szCs w:val="20"/>
    </w:rPr>
  </w:style>
  <w:style w:type="character" w:styleId="Appelnotedebasdep">
    <w:name w:val="footnote reference"/>
    <w:basedOn w:val="Policepardfaut"/>
    <w:uiPriority w:val="99"/>
    <w:semiHidden/>
    <w:unhideWhenUsed/>
    <w:rsid w:val="00883284"/>
    <w:rPr>
      <w:vertAlign w:val="superscript"/>
    </w:rPr>
  </w:style>
  <w:style w:type="character" w:styleId="Lienhypertexte">
    <w:name w:val="Hyperlink"/>
    <w:basedOn w:val="Policepardfaut"/>
    <w:uiPriority w:val="99"/>
    <w:semiHidden/>
    <w:unhideWhenUsed/>
    <w:rsid w:val="00883284"/>
    <w:rPr>
      <w:color w:val="0563C1" w:themeColor="hyperlink"/>
      <w:u w:val="single"/>
    </w:rPr>
  </w:style>
  <w:style w:type="paragraph" w:styleId="Notedebasdepage">
    <w:name w:val="footnote text"/>
    <w:basedOn w:val="Normal"/>
    <w:link w:val="NotedebasdepageCar1"/>
    <w:uiPriority w:val="99"/>
    <w:semiHidden/>
    <w:unhideWhenUsed/>
    <w:rsid w:val="00883284"/>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8832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onst-court.be/public/f/2013/2013-101f.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791</Words>
  <Characters>4352</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EVERAERTS</dc:creator>
  <cp:keywords/>
  <dc:description/>
  <cp:lastModifiedBy>Alissa EVERAERTS</cp:lastModifiedBy>
  <cp:revision>5</cp:revision>
  <dcterms:created xsi:type="dcterms:W3CDTF">2026-05-06T13:33:00Z</dcterms:created>
  <dcterms:modified xsi:type="dcterms:W3CDTF">2026-05-07T11:48:00Z</dcterms:modified>
</cp:coreProperties>
</file>