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605BA" w14:textId="2B76ECE0" w:rsidR="0084582E" w:rsidRDefault="0084582E" w:rsidP="0084582E">
      <w:pPr>
        <w:tabs>
          <w:tab w:val="left" w:pos="6379"/>
        </w:tabs>
        <w:jc w:val="center"/>
        <w:rPr>
          <w:rFonts w:cstheme="minorHAnsi"/>
          <w:color w:val="000000"/>
          <w:shd w:val="clear" w:color="auto" w:fill="FFFFFF"/>
          <w:lang w:val="fr-BE"/>
        </w:rPr>
      </w:pPr>
      <w:bookmarkStart w:id="0" w:name="_Hlk79521497"/>
      <w:bookmarkEnd w:id="0"/>
      <w:r>
        <w:rPr>
          <w:rFonts w:cstheme="minorHAnsi"/>
          <w:color w:val="000000"/>
          <w:shd w:val="clear" w:color="auto" w:fill="FFFFFF"/>
          <w:lang w:val="fr-BE"/>
        </w:rPr>
        <w:t xml:space="preserve">                                          CONCILIA</w:t>
      </w:r>
    </w:p>
    <w:p w14:paraId="5CD458A8" w14:textId="5E962B80" w:rsidR="0084582E" w:rsidRDefault="0084582E" w:rsidP="0084582E">
      <w:pPr>
        <w:jc w:val="center"/>
        <w:rPr>
          <w:rFonts w:cstheme="minorHAnsi"/>
          <w:color w:val="000000"/>
          <w:shd w:val="clear" w:color="auto" w:fill="FFFFFF"/>
          <w:lang w:val="fr-BE"/>
        </w:rPr>
      </w:pPr>
      <w:r>
        <w:rPr>
          <w:rFonts w:cstheme="minorHAnsi"/>
          <w:color w:val="000000"/>
          <w:shd w:val="clear" w:color="auto" w:fill="FFFFFF"/>
          <w:lang w:val="fr-BE"/>
        </w:rPr>
        <w:t xml:space="preserve">                                                           Service Recouvrement</w:t>
      </w:r>
    </w:p>
    <w:p w14:paraId="6E120096" w14:textId="5794323C" w:rsidR="0084582E" w:rsidRDefault="0084582E" w:rsidP="0084582E">
      <w:pPr>
        <w:jc w:val="center"/>
        <w:rPr>
          <w:rFonts w:cstheme="minorHAnsi"/>
          <w:color w:val="000000"/>
          <w:shd w:val="clear" w:color="auto" w:fill="FFFFFF"/>
          <w:lang w:val="fr-BE"/>
        </w:rPr>
      </w:pPr>
      <w:r>
        <w:rPr>
          <w:rFonts w:cstheme="minorHAnsi"/>
          <w:color w:val="000000"/>
          <w:shd w:val="clear" w:color="auto" w:fill="FFFFFF"/>
          <w:lang w:val="fr-BE"/>
        </w:rPr>
        <w:t xml:space="preserve">                                                                 Bd Général Jacques, 263g</w:t>
      </w:r>
    </w:p>
    <w:p w14:paraId="2DDB7281" w14:textId="7BA9AB0B" w:rsidR="0084582E" w:rsidRDefault="0084582E" w:rsidP="0084582E">
      <w:pPr>
        <w:jc w:val="center"/>
        <w:rPr>
          <w:rFonts w:cstheme="minorHAnsi"/>
          <w:color w:val="000000"/>
          <w:shd w:val="clear" w:color="auto" w:fill="FFFFFF"/>
          <w:lang w:val="fr-BE"/>
        </w:rPr>
      </w:pPr>
      <w:r>
        <w:rPr>
          <w:rFonts w:cstheme="minorHAnsi"/>
          <w:color w:val="000000"/>
          <w:shd w:val="clear" w:color="auto" w:fill="FFFFFF"/>
          <w:lang w:val="fr-BE"/>
        </w:rPr>
        <w:t xml:space="preserve">                                               1050 Bruxelles</w:t>
      </w:r>
    </w:p>
    <w:p w14:paraId="42D2C6BB" w14:textId="013C96AF" w:rsidR="00162350" w:rsidRDefault="00081D67" w:rsidP="0084582E">
      <w:pPr>
        <w:spacing w:line="192" w:lineRule="auto"/>
        <w:ind w:firstLine="708"/>
      </w:pPr>
      <w:r>
        <w:rPr>
          <w:noProof/>
          <w:lang w:val="fr-BE" w:eastAsia="fr-BE"/>
        </w:rPr>
        <w:drawing>
          <wp:anchor distT="0" distB="0" distL="114300" distR="114300" simplePos="0" relativeHeight="251657216" behindDoc="1" locked="0" layoutInCell="1" allowOverlap="1" wp14:anchorId="45BD7D5A" wp14:editId="117ECF46">
            <wp:simplePos x="0" y="0"/>
            <wp:positionH relativeFrom="column">
              <wp:posOffset>-728345</wp:posOffset>
            </wp:positionH>
            <wp:positionV relativeFrom="page">
              <wp:posOffset>219075</wp:posOffset>
            </wp:positionV>
            <wp:extent cx="2114550" cy="1247775"/>
            <wp:effectExtent l="19050" t="0" r="0" b="0"/>
            <wp:wrapTight wrapText="bothSides">
              <wp:wrapPolygon edited="0">
                <wp:start x="-195" y="0"/>
                <wp:lineTo x="-195" y="21435"/>
                <wp:lineTo x="21600" y="21435"/>
                <wp:lineTo x="21600" y="0"/>
                <wp:lineTo x="-195" y="0"/>
              </wp:wrapPolygon>
            </wp:wrapTight>
            <wp:docPr id="3" name="Image 0" descr="logo Tele Servic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Tele Service couleur.jpg"/>
                    <pic:cNvPicPr>
                      <a:picLocks noChangeAspect="1" noChangeArrowheads="1"/>
                    </pic:cNvPicPr>
                  </pic:nvPicPr>
                  <pic:blipFill>
                    <a:blip r:embed="rId8" cstate="print"/>
                    <a:srcRect l="2564" t="4794" r="2564" b="5479"/>
                    <a:stretch>
                      <a:fillRect/>
                    </a:stretch>
                  </pic:blipFill>
                  <pic:spPr bwMode="auto">
                    <a:xfrm>
                      <a:off x="0" y="0"/>
                      <a:ext cx="2114550" cy="1247775"/>
                    </a:xfrm>
                    <a:prstGeom prst="rect">
                      <a:avLst/>
                    </a:prstGeom>
                    <a:noFill/>
                    <a:ln>
                      <a:noFill/>
                    </a:ln>
                  </pic:spPr>
                </pic:pic>
              </a:graphicData>
            </a:graphic>
          </wp:anchor>
        </w:drawing>
      </w:r>
      <w:r w:rsidR="00952430">
        <w:rPr>
          <w:noProof/>
          <w:color w:val="007434"/>
          <w:sz w:val="20"/>
          <w:szCs w:val="20"/>
          <w:lang w:val="fr-BE" w:eastAsia="fr-BE"/>
        </w:rPr>
        <mc:AlternateContent>
          <mc:Choice Requires="wps">
            <w:drawing>
              <wp:anchor distT="0" distB="0" distL="114300" distR="114300" simplePos="0" relativeHeight="251660288" behindDoc="0" locked="0" layoutInCell="1" allowOverlap="1" wp14:anchorId="48E26148" wp14:editId="52A78F98">
                <wp:simplePos x="0" y="0"/>
                <wp:positionH relativeFrom="column">
                  <wp:posOffset>-635000</wp:posOffset>
                </wp:positionH>
                <wp:positionV relativeFrom="paragraph">
                  <wp:posOffset>15875</wp:posOffset>
                </wp:positionV>
                <wp:extent cx="1974215" cy="502285"/>
                <wp:effectExtent l="8890" t="6985" r="762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502285"/>
                        </a:xfrm>
                        <a:prstGeom prst="rect">
                          <a:avLst/>
                        </a:prstGeom>
                        <a:solidFill>
                          <a:srgbClr val="FFFFFF"/>
                        </a:solidFill>
                        <a:ln w="9525">
                          <a:solidFill>
                            <a:srgbClr val="000000"/>
                          </a:solidFill>
                          <a:miter lim="800000"/>
                          <a:headEnd/>
                          <a:tailEnd/>
                        </a:ln>
                      </wps:spPr>
                      <wps:txbx>
                        <w:txbxContent>
                          <w:p w14:paraId="308987A4" w14:textId="77777777" w:rsidR="0025608A" w:rsidRPr="00162350" w:rsidRDefault="0025608A" w:rsidP="0025608A">
                            <w:pPr>
                              <w:spacing w:line="192" w:lineRule="auto"/>
                              <w:ind w:left="-284"/>
                              <w:jc w:val="center"/>
                              <w:rPr>
                                <w:color w:val="007434"/>
                                <w:sz w:val="20"/>
                                <w:szCs w:val="20"/>
                              </w:rPr>
                            </w:pPr>
                            <w:r w:rsidRPr="00162350">
                              <w:rPr>
                                <w:color w:val="007434"/>
                                <w:sz w:val="20"/>
                                <w:szCs w:val="20"/>
                                <w:lang w:val="fr-BE"/>
                              </w:rPr>
                              <w:t>Service agréé de</w:t>
                            </w:r>
                          </w:p>
                          <w:p w14:paraId="2725592D" w14:textId="77777777" w:rsidR="0025608A" w:rsidRPr="00162350" w:rsidRDefault="0025608A" w:rsidP="0025608A">
                            <w:pPr>
                              <w:spacing w:before="40" w:line="192" w:lineRule="auto"/>
                              <w:ind w:left="-426"/>
                              <w:jc w:val="center"/>
                              <w:rPr>
                                <w:color w:val="007434"/>
                                <w:sz w:val="20"/>
                                <w:szCs w:val="20"/>
                                <w:lang w:val="fr-BE"/>
                              </w:rPr>
                            </w:pPr>
                            <w:r w:rsidRPr="00162350">
                              <w:rPr>
                                <w:color w:val="007434"/>
                                <w:sz w:val="20"/>
                                <w:szCs w:val="20"/>
                                <w:lang w:val="fr-BE"/>
                              </w:rPr>
                              <w:t>Médiation de dettes</w:t>
                            </w:r>
                          </w:p>
                          <w:p w14:paraId="5EDAC878" w14:textId="77777777" w:rsidR="0025608A" w:rsidRPr="0025608A" w:rsidRDefault="0025608A" w:rsidP="0025608A">
                            <w:pPr>
                              <w:spacing w:before="40" w:line="192" w:lineRule="auto"/>
                              <w:ind w:left="-709"/>
                              <w:jc w:val="center"/>
                              <w:rPr>
                                <w:color w:val="007434"/>
                                <w:sz w:val="20"/>
                                <w:szCs w:val="20"/>
                                <w:lang w:val="fr-BE"/>
                              </w:rPr>
                            </w:pPr>
                            <w:r>
                              <w:rPr>
                                <w:color w:val="007434"/>
                                <w:sz w:val="20"/>
                                <w:szCs w:val="20"/>
                                <w:lang w:val="fr-BE"/>
                              </w:rPr>
                              <w:t xml:space="preserve">           </w:t>
                            </w:r>
                            <w:r w:rsidRPr="00162350">
                              <w:rPr>
                                <w:color w:val="007434"/>
                                <w:sz w:val="20"/>
                                <w:szCs w:val="20"/>
                                <w:lang w:val="fr-BE"/>
                              </w:rPr>
                              <w:t>médiation@tele-service.be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E26148" id="_x0000_t202" coordsize="21600,21600" o:spt="202" path="m,l,21600r21600,l21600,xe">
                <v:stroke joinstyle="miter"/>
                <v:path gradientshapeok="t" o:connecttype="rect"/>
              </v:shapetype>
              <v:shape id="Text Box 3" o:spid="_x0000_s1026" type="#_x0000_t202" style="position:absolute;left:0;text-align:left;margin-left:-50pt;margin-top:1.25pt;width:155.45pt;height:39.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">
                <v:textbox style="mso-fit-shape-to-text:t">
                  <w:txbxContent>
                    <w:p w14:paraId="308987A4" w14:textId="77777777" w:rsidR="0025608A" w:rsidRPr="00162350" w:rsidRDefault="0025608A" w:rsidP="0025608A">
                      <w:pPr>
                        <w:spacing w:line="192" w:lineRule="auto"/>
                        <w:ind w:left="-284"/>
                        <w:jc w:val="center"/>
                        <w:rPr>
                          <w:color w:val="007434"/>
                          <w:sz w:val="20"/>
                          <w:szCs w:val="20"/>
                        </w:rPr>
                      </w:pPr>
                      <w:r w:rsidRPr="00162350">
                        <w:rPr>
                          <w:color w:val="007434"/>
                          <w:sz w:val="20"/>
                          <w:szCs w:val="20"/>
                          <w:lang w:val="fr-BE"/>
                        </w:rPr>
                        <w:t>Service agréé de</w:t>
                      </w:r>
                    </w:p>
                    <w:p w14:paraId="2725592D" w14:textId="77777777" w:rsidR="0025608A" w:rsidRPr="00162350" w:rsidRDefault="0025608A" w:rsidP="0025608A">
                      <w:pPr>
                        <w:spacing w:before="40" w:line="192" w:lineRule="auto"/>
                        <w:ind w:left="-426"/>
                        <w:jc w:val="center"/>
                        <w:rPr>
                          <w:color w:val="007434"/>
                          <w:sz w:val="20"/>
                          <w:szCs w:val="20"/>
                          <w:lang w:val="fr-BE"/>
                        </w:rPr>
                      </w:pPr>
                      <w:r w:rsidRPr="00162350">
                        <w:rPr>
                          <w:color w:val="007434"/>
                          <w:sz w:val="20"/>
                          <w:szCs w:val="20"/>
                          <w:lang w:val="fr-BE"/>
                        </w:rPr>
                        <w:t>Médiation de dettes</w:t>
                      </w:r>
                    </w:p>
                    <w:p w14:paraId="5EDAC878" w14:textId="77777777" w:rsidR="0025608A" w:rsidRPr="0025608A" w:rsidRDefault="0025608A" w:rsidP="0025608A">
                      <w:pPr>
                        <w:spacing w:before="40" w:line="192" w:lineRule="auto"/>
                        <w:ind w:left="-709"/>
                        <w:jc w:val="center"/>
                        <w:rPr>
                          <w:color w:val="007434"/>
                          <w:sz w:val="20"/>
                          <w:szCs w:val="20"/>
                          <w:lang w:val="fr-BE"/>
                        </w:rPr>
                      </w:pPr>
                      <w:r>
                        <w:rPr>
                          <w:color w:val="007434"/>
                          <w:sz w:val="20"/>
                          <w:szCs w:val="20"/>
                          <w:lang w:val="fr-BE"/>
                        </w:rPr>
                        <w:t xml:space="preserve">           </w:t>
                      </w:r>
                      <w:r w:rsidRPr="00162350">
                        <w:rPr>
                          <w:color w:val="007434"/>
                          <w:sz w:val="20"/>
                          <w:szCs w:val="20"/>
                          <w:lang w:val="fr-BE"/>
                        </w:rPr>
                        <w:t>médiation@tele-service.be</w:t>
                      </w:r>
                    </w:p>
                  </w:txbxContent>
                </v:textbox>
              </v:shape>
            </w:pict>
          </mc:Fallback>
        </mc:AlternateContent>
      </w:r>
    </w:p>
    <w:p w14:paraId="2B1ED33E" w14:textId="77777777" w:rsidR="0025608A" w:rsidRDefault="0025608A"/>
    <w:p w14:paraId="589ACD29" w14:textId="3713CCB1" w:rsidR="0025608A" w:rsidRDefault="007F56B3" w:rsidP="003B0C97">
      <w:r>
        <w:tab/>
      </w:r>
      <w:r>
        <w:tab/>
      </w:r>
      <w:r>
        <w:tab/>
      </w:r>
      <w:r>
        <w:tab/>
      </w:r>
      <w:r>
        <w:tab/>
      </w:r>
      <w:r>
        <w:tab/>
        <w:t xml:space="preserve"> </w:t>
      </w:r>
    </w:p>
    <w:p w14:paraId="0DA07A58" w14:textId="608245DA" w:rsidR="0084582E" w:rsidRDefault="0084582E" w:rsidP="003B0C97"/>
    <w:p w14:paraId="00BEABC5" w14:textId="2DD04370" w:rsidR="0084582E" w:rsidRDefault="0084582E" w:rsidP="003B0C97"/>
    <w:p w14:paraId="16EDF3D5" w14:textId="0CAAA1C9" w:rsidR="0084582E" w:rsidRDefault="0084582E" w:rsidP="0084582E">
      <w:pPr>
        <w:tabs>
          <w:tab w:val="left" w:pos="1260"/>
        </w:tabs>
      </w:pPr>
      <w:r w:rsidRPr="00636C36">
        <w:rPr>
          <w:u w:val="single"/>
        </w:rPr>
        <w:t>Concerne</w:t>
      </w:r>
      <w:r>
        <w:t xml:space="preserve"> : </w:t>
      </w:r>
      <w:r>
        <w:tab/>
      </w:r>
      <w:proofErr w:type="gramStart"/>
      <w:r>
        <w:t xml:space="preserve">Monsieur  </w:t>
      </w:r>
      <w:r w:rsidR="00432E2B" w:rsidRPr="00DA2106">
        <w:rPr>
          <w:highlight w:val="black"/>
        </w:rPr>
        <w:t>XXX</w:t>
      </w:r>
      <w:proofErr w:type="gramEnd"/>
      <w:r w:rsidR="00432E2B">
        <w:t xml:space="preserve"> </w:t>
      </w:r>
      <w:r>
        <w:t xml:space="preserve">et Madame </w:t>
      </w:r>
      <w:r w:rsidR="00432E2B" w:rsidRPr="00DA2106">
        <w:rPr>
          <w:highlight w:val="black"/>
        </w:rPr>
        <w:t>YYY</w:t>
      </w:r>
      <w:r w:rsidR="00432E2B">
        <w:t xml:space="preserve"> </w:t>
      </w:r>
    </w:p>
    <w:p w14:paraId="13DB36B1" w14:textId="7DC5BB5D" w:rsidR="0084582E" w:rsidRDefault="0084582E" w:rsidP="00545D9B">
      <w:pPr>
        <w:tabs>
          <w:tab w:val="left" w:pos="1260"/>
        </w:tabs>
      </w:pPr>
      <w:r w:rsidRPr="00636C36">
        <w:rPr>
          <w:u w:val="single"/>
        </w:rPr>
        <w:t>V/</w:t>
      </w:r>
      <w:proofErr w:type="spellStart"/>
      <w:r w:rsidRPr="00636C36">
        <w:rPr>
          <w:u w:val="single"/>
        </w:rPr>
        <w:t>Ref</w:t>
      </w:r>
      <w:proofErr w:type="spellEnd"/>
      <w:r>
        <w:t xml:space="preserve"> : </w:t>
      </w:r>
      <w:r w:rsidR="00636C36" w:rsidRPr="00636C36">
        <w:t xml:space="preserve">n° de </w:t>
      </w:r>
      <w:proofErr w:type="gramStart"/>
      <w:r w:rsidR="00636C36" w:rsidRPr="00636C36">
        <w:t xml:space="preserve">crédit  </w:t>
      </w:r>
      <w:r w:rsidR="00432E2B" w:rsidRPr="00DA2106">
        <w:rPr>
          <w:highlight w:val="black"/>
        </w:rPr>
        <w:t>ZZZ</w:t>
      </w:r>
      <w:proofErr w:type="gramEnd"/>
    </w:p>
    <w:p w14:paraId="5BCDD8E6" w14:textId="358B4A6C" w:rsidR="0084582E" w:rsidRDefault="0084582E" w:rsidP="0084582E">
      <w:r w:rsidRPr="00636C36">
        <w:rPr>
          <w:u w:val="single"/>
        </w:rPr>
        <w:t>N/</w:t>
      </w:r>
      <w:proofErr w:type="spellStart"/>
      <w:r w:rsidRPr="00636C36">
        <w:rPr>
          <w:u w:val="single"/>
        </w:rPr>
        <w:t>Ref</w:t>
      </w:r>
      <w:proofErr w:type="spellEnd"/>
      <w:r>
        <w:t xml:space="preserve"> : </w:t>
      </w:r>
      <w:r w:rsidR="00432E2B" w:rsidRPr="00DA2106">
        <w:rPr>
          <w:highlight w:val="black"/>
        </w:rPr>
        <w:t>XXX</w:t>
      </w:r>
      <w:r w:rsidRPr="00DA2106">
        <w:rPr>
          <w:highlight w:val="black"/>
        </w:rPr>
        <w:t>/SUR/CDS</w:t>
      </w:r>
    </w:p>
    <w:p w14:paraId="2755333E" w14:textId="0A9B99E8" w:rsidR="00636C36" w:rsidRDefault="00636C36" w:rsidP="0084582E"/>
    <w:p w14:paraId="56CF7DFE" w14:textId="77777777" w:rsidR="00545D9B" w:rsidRDefault="00545D9B" w:rsidP="00636C36">
      <w:pPr>
        <w:rPr>
          <w:rFonts w:cstheme="minorHAnsi"/>
          <w:color w:val="000000"/>
          <w:shd w:val="clear" w:color="auto" w:fill="FFFFFF"/>
          <w:lang w:val="fr-BE"/>
        </w:rPr>
      </w:pPr>
    </w:p>
    <w:p w14:paraId="607AB4E0" w14:textId="0D4CCFE0" w:rsidR="00636C36" w:rsidRPr="0056359E" w:rsidRDefault="00636C36" w:rsidP="00636C36">
      <w:pPr>
        <w:rPr>
          <w:rFonts w:cstheme="minorHAnsi"/>
          <w:color w:val="000000"/>
          <w:shd w:val="clear" w:color="auto" w:fill="FFFFFF"/>
          <w:lang w:val="fr-BE"/>
        </w:rPr>
      </w:pPr>
      <w:r w:rsidRPr="0056359E">
        <w:rPr>
          <w:rFonts w:cstheme="minorHAnsi"/>
          <w:color w:val="000000"/>
          <w:shd w:val="clear" w:color="auto" w:fill="FFFFFF"/>
          <w:lang w:val="fr-BE"/>
        </w:rPr>
        <w:t>Madame, Monsieur,</w:t>
      </w:r>
    </w:p>
    <w:p w14:paraId="5E79E46B" w14:textId="77777777" w:rsidR="00636C36" w:rsidRPr="0056359E" w:rsidRDefault="00636C36" w:rsidP="00636C36">
      <w:pPr>
        <w:rPr>
          <w:rFonts w:cstheme="minorHAnsi"/>
          <w:color w:val="000000"/>
          <w:shd w:val="clear" w:color="auto" w:fill="FFFFFF"/>
          <w:lang w:val="fr-BE"/>
        </w:rPr>
      </w:pPr>
    </w:p>
    <w:p w14:paraId="053CBE0F" w14:textId="3F440F53" w:rsidR="00636C36" w:rsidRPr="0056359E" w:rsidRDefault="00636C36" w:rsidP="00636C36">
      <w:pPr>
        <w:rPr>
          <w:rFonts w:cstheme="minorHAnsi"/>
          <w:color w:val="000000"/>
          <w:shd w:val="clear" w:color="auto" w:fill="FFFFFF"/>
          <w:lang w:val="fr-BE"/>
        </w:rPr>
      </w:pPr>
      <w:r w:rsidRPr="0056359E">
        <w:rPr>
          <w:rFonts w:cstheme="minorHAnsi"/>
          <w:color w:val="000000"/>
          <w:shd w:val="clear" w:color="auto" w:fill="FFFFFF"/>
          <w:lang w:val="fr-BE"/>
        </w:rPr>
        <w:t xml:space="preserve">Suite à votre mail du 06/07/2021 et à la communication téléphonique que j'ai eu avec votre collègue monsieur </w:t>
      </w:r>
      <w:r w:rsidR="00DA2106" w:rsidRPr="00DA2106">
        <w:rPr>
          <w:rFonts w:cstheme="minorHAnsi"/>
          <w:color w:val="000000"/>
          <w:highlight w:val="black"/>
          <w:shd w:val="clear" w:color="auto" w:fill="FFFFFF"/>
          <w:lang w:val="fr-BE"/>
        </w:rPr>
        <w:t>XXX</w:t>
      </w:r>
      <w:r w:rsidRPr="0056359E">
        <w:rPr>
          <w:rFonts w:cstheme="minorHAnsi"/>
          <w:color w:val="000000"/>
          <w:shd w:val="clear" w:color="auto" w:fill="FFFFFF"/>
          <w:lang w:val="fr-BE"/>
        </w:rPr>
        <w:t xml:space="preserve">, je me permets de vous informer que Monsieur </w:t>
      </w:r>
      <w:r w:rsidR="00432E2B" w:rsidRPr="00DA2106">
        <w:rPr>
          <w:rFonts w:cstheme="minorHAnsi"/>
          <w:color w:val="000000"/>
          <w:highlight w:val="black"/>
          <w:shd w:val="clear" w:color="auto" w:fill="FFFFFF"/>
          <w:lang w:val="fr-BE"/>
        </w:rPr>
        <w:t>XXX</w:t>
      </w:r>
      <w:r w:rsidRPr="0056359E">
        <w:rPr>
          <w:rFonts w:cstheme="minorHAnsi"/>
          <w:color w:val="000000"/>
          <w:shd w:val="clear" w:color="auto" w:fill="FFFFFF"/>
          <w:lang w:val="fr-BE"/>
        </w:rPr>
        <w:t xml:space="preserve"> ne peut pas accepter votre proposition du 06/07/2021.</w:t>
      </w:r>
    </w:p>
    <w:p w14:paraId="0653E91E" w14:textId="77777777" w:rsidR="00636C36" w:rsidRDefault="00636C36" w:rsidP="00636C36">
      <w:pPr>
        <w:rPr>
          <w:rFonts w:cstheme="minorHAnsi"/>
          <w:color w:val="000000"/>
          <w:shd w:val="clear" w:color="auto" w:fill="FFFFFF"/>
          <w:lang w:val="fr-BE"/>
        </w:rPr>
      </w:pPr>
    </w:p>
    <w:p w14:paraId="5C22E90E" w14:textId="77777777" w:rsidR="00636C36" w:rsidRPr="0056359E" w:rsidRDefault="00636C36" w:rsidP="00636C36">
      <w:pPr>
        <w:rPr>
          <w:rFonts w:cstheme="minorHAnsi"/>
          <w:color w:val="000000"/>
          <w:shd w:val="clear" w:color="auto" w:fill="FFFFFF"/>
          <w:lang w:val="fr-BE"/>
        </w:rPr>
      </w:pPr>
      <w:r w:rsidRPr="0056359E">
        <w:rPr>
          <w:rFonts w:cstheme="minorHAnsi"/>
          <w:color w:val="000000"/>
          <w:shd w:val="clear" w:color="auto" w:fill="FFFFFF"/>
          <w:lang w:val="fr-BE"/>
        </w:rPr>
        <w:t xml:space="preserve">Notre courrier du 29/06/2021 ne contestait pas le calcul des intérêts de retard ni la prescription mais se basait sur de graves manquements à la loi du 12 juin 1991 sur le crédit à la consommation. </w:t>
      </w:r>
    </w:p>
    <w:p w14:paraId="4253B107" w14:textId="77777777" w:rsidR="00636C36" w:rsidRPr="0056359E" w:rsidRDefault="00636C36" w:rsidP="00636C36">
      <w:pPr>
        <w:rPr>
          <w:rFonts w:cstheme="minorHAnsi"/>
          <w:color w:val="000000"/>
          <w:shd w:val="clear" w:color="auto" w:fill="FFFFFF"/>
          <w:lang w:val="fr-BE"/>
        </w:rPr>
      </w:pPr>
    </w:p>
    <w:p w14:paraId="1FBB2573" w14:textId="75B5DD4B" w:rsidR="00636C36" w:rsidRPr="0056359E" w:rsidRDefault="00636C36" w:rsidP="00636C36">
      <w:pPr>
        <w:rPr>
          <w:rFonts w:cstheme="minorHAnsi"/>
          <w:lang w:val="fr-BE"/>
        </w:rPr>
      </w:pPr>
      <w:r w:rsidRPr="0056359E">
        <w:rPr>
          <w:rFonts w:cstheme="minorHAnsi"/>
          <w:color w:val="000000"/>
          <w:shd w:val="clear" w:color="auto" w:fill="FFFFFF"/>
          <w:lang w:val="fr-BE"/>
        </w:rPr>
        <w:t xml:space="preserve">Nous remarquons en effet qu’en accordant le crédit 952440361293 à Monsieur </w:t>
      </w:r>
      <w:r w:rsidR="00432E2B" w:rsidRPr="00DA2106">
        <w:rPr>
          <w:rFonts w:cstheme="minorHAnsi"/>
          <w:color w:val="000000"/>
          <w:highlight w:val="black"/>
          <w:shd w:val="clear" w:color="auto" w:fill="FFFFFF"/>
          <w:lang w:val="fr-BE"/>
        </w:rPr>
        <w:t>XXX</w:t>
      </w:r>
      <w:r w:rsidRPr="0056359E">
        <w:rPr>
          <w:rFonts w:cstheme="minorHAnsi"/>
          <w:color w:val="000000"/>
          <w:shd w:val="clear" w:color="auto" w:fill="FFFFFF"/>
          <w:lang w:val="fr-BE"/>
        </w:rPr>
        <w:t xml:space="preserve"> et à Madame </w:t>
      </w:r>
      <w:r w:rsidR="00432E2B" w:rsidRPr="00DA2106">
        <w:rPr>
          <w:rFonts w:cstheme="minorHAnsi"/>
          <w:color w:val="000000"/>
          <w:highlight w:val="black"/>
          <w:shd w:val="clear" w:color="auto" w:fill="FFFFFF"/>
          <w:lang w:val="fr-BE"/>
        </w:rPr>
        <w:t>YYY</w:t>
      </w:r>
      <w:r w:rsidRPr="0056359E">
        <w:rPr>
          <w:rFonts w:cstheme="minorHAnsi"/>
          <w:color w:val="000000"/>
          <w:shd w:val="clear" w:color="auto" w:fill="FFFFFF"/>
          <w:lang w:val="fr-BE"/>
        </w:rPr>
        <w:t>, BEOBANK (CITIBANK à l’époque) n’a pas respecté l’art 15 al 2 de la LCC (actuel art VII 77 §2 al 1 du CDE). Cet article précise en effet que « </w:t>
      </w:r>
      <w:r w:rsidRPr="0056359E">
        <w:rPr>
          <w:rFonts w:cstheme="minorHAnsi"/>
          <w:i/>
          <w:iCs/>
          <w:color w:val="000000"/>
          <w:shd w:val="clear" w:color="auto" w:fill="FFFFFF"/>
          <w:lang w:val="fr-BE"/>
        </w:rPr>
        <w:t>L</w:t>
      </w:r>
      <w:r w:rsidRPr="0056359E">
        <w:rPr>
          <w:rFonts w:cstheme="minorHAnsi"/>
          <w:i/>
          <w:iCs/>
          <w:lang w:val="fr-BE"/>
        </w:rPr>
        <w:t>e prêteur ne peut conclure de contrat de crédit que si, compte tenu des informations dont il dispose ou devrait disposer, notamment sur la base de la consultation organisée par l'article 9 de la loi du 10 août 2001 relative à la Centrale des crédits aux particuliers, et sur la base des renseignements visés à l'article 10, il doit raisonnablement estimer que le consommateur sera à même de respecter les obligations découlant du contrat.</w:t>
      </w:r>
      <w:r w:rsidRPr="0056359E">
        <w:rPr>
          <w:rFonts w:cstheme="minorHAnsi"/>
          <w:lang w:val="fr-BE"/>
        </w:rPr>
        <w:t> »</w:t>
      </w:r>
    </w:p>
    <w:p w14:paraId="69986053" w14:textId="77777777" w:rsidR="00636C36" w:rsidRPr="0056359E" w:rsidRDefault="00636C36" w:rsidP="00636C36">
      <w:pPr>
        <w:rPr>
          <w:rFonts w:cstheme="minorHAnsi"/>
          <w:lang w:val="fr-BE"/>
        </w:rPr>
      </w:pPr>
    </w:p>
    <w:p w14:paraId="15B44F29" w14:textId="421FDF1C" w:rsidR="00636C36" w:rsidRDefault="00636C36" w:rsidP="00636C36">
      <w:pPr>
        <w:rPr>
          <w:rFonts w:cstheme="minorHAnsi"/>
          <w:color w:val="000000"/>
          <w:shd w:val="clear" w:color="auto" w:fill="FFFFFF"/>
          <w:lang w:val="fr-BE"/>
        </w:rPr>
      </w:pPr>
      <w:r w:rsidRPr="0056359E">
        <w:rPr>
          <w:rFonts w:cstheme="minorHAnsi"/>
          <w:lang w:val="fr-BE"/>
        </w:rPr>
        <w:t xml:space="preserve">En examinant la demande de crédit (voir ci-joint), nous constatons qu’au moment de la souscription du crédit </w:t>
      </w:r>
      <w:r w:rsidRPr="0056359E">
        <w:rPr>
          <w:rFonts w:cstheme="minorHAnsi"/>
          <w:color w:val="000000"/>
          <w:shd w:val="clear" w:color="auto" w:fill="FFFFFF"/>
          <w:lang w:val="fr-BE"/>
        </w:rPr>
        <w:t xml:space="preserve">Monsieur et Madame avaient </w:t>
      </w:r>
      <w:r w:rsidRPr="0056359E">
        <w:rPr>
          <w:rFonts w:cstheme="minorHAnsi"/>
          <w:b/>
          <w:bCs/>
          <w:color w:val="000000"/>
          <w:shd w:val="clear" w:color="auto" w:fill="FFFFFF"/>
          <w:lang w:val="fr-BE"/>
        </w:rPr>
        <w:t>5 ouvertures de crédit et 3 prêts à tempérament</w:t>
      </w:r>
      <w:r w:rsidRPr="0056359E">
        <w:rPr>
          <w:rFonts w:cstheme="minorHAnsi"/>
          <w:color w:val="000000"/>
          <w:shd w:val="clear" w:color="auto" w:fill="FFFFFF"/>
          <w:lang w:val="fr-BE"/>
        </w:rPr>
        <w:t xml:space="preserve"> dont le PAT principal chez CITIBANK. Toujours selon la demande de crédit, le présent crédit servait à consolider des crédits (1 PAT et 2 OC). </w:t>
      </w:r>
    </w:p>
    <w:p w14:paraId="5BBF1EBF" w14:textId="77777777" w:rsidR="00545D9B" w:rsidRPr="0056359E" w:rsidRDefault="00545D9B" w:rsidP="00636C36">
      <w:pPr>
        <w:rPr>
          <w:rFonts w:cstheme="minorHAnsi"/>
          <w:color w:val="000000"/>
          <w:shd w:val="clear" w:color="auto" w:fill="FFFFFF"/>
          <w:lang w:val="fr-BE"/>
        </w:rPr>
      </w:pPr>
    </w:p>
    <w:p w14:paraId="414D86CD" w14:textId="4E0B5C9A" w:rsidR="00636C36" w:rsidRDefault="00636C36" w:rsidP="00636C36">
      <w:pPr>
        <w:rPr>
          <w:rFonts w:cstheme="minorHAnsi"/>
          <w:color w:val="000000"/>
          <w:lang w:val="fr-BE"/>
        </w:rPr>
      </w:pPr>
      <w:r w:rsidRPr="0056359E">
        <w:rPr>
          <w:rFonts w:cstheme="minorHAnsi"/>
          <w:color w:val="000000"/>
          <w:shd w:val="clear" w:color="auto" w:fill="FFFFFF"/>
          <w:lang w:val="fr-BE"/>
        </w:rPr>
        <w:t xml:space="preserve">Vous indiquez également </w:t>
      </w:r>
      <w:r>
        <w:rPr>
          <w:rFonts w:cstheme="minorHAnsi"/>
          <w:color w:val="000000"/>
          <w:shd w:val="clear" w:color="auto" w:fill="FFFFFF"/>
          <w:lang w:val="fr-BE"/>
        </w:rPr>
        <w:t xml:space="preserve">dans la demande de crédit </w:t>
      </w:r>
      <w:r w:rsidRPr="0056359E">
        <w:rPr>
          <w:rFonts w:cstheme="minorHAnsi"/>
          <w:color w:val="000000"/>
          <w:shd w:val="clear" w:color="auto" w:fill="FFFFFF"/>
          <w:lang w:val="fr-BE"/>
        </w:rPr>
        <w:t xml:space="preserve">que </w:t>
      </w:r>
      <w:r w:rsidRPr="0056359E">
        <w:rPr>
          <w:rFonts w:cstheme="minorHAnsi"/>
          <w:b/>
          <w:bCs/>
          <w:color w:val="000000"/>
          <w:shd w:val="clear" w:color="auto" w:fill="FFFFFF"/>
          <w:lang w:val="fr-BE"/>
        </w:rPr>
        <w:t>les revenus de Monsieur sont de 975 €</w:t>
      </w:r>
      <w:r w:rsidRPr="0056359E">
        <w:rPr>
          <w:rFonts w:cstheme="minorHAnsi"/>
          <w:color w:val="000000"/>
          <w:shd w:val="clear" w:color="auto" w:fill="FFFFFF"/>
          <w:lang w:val="fr-BE"/>
        </w:rPr>
        <w:t xml:space="preserve"> (Monsieur était invalide) et que Madame touche des allocations familiales de 1.442 € (la famille avait 6 enfants à charge). </w:t>
      </w:r>
      <w:r>
        <w:rPr>
          <w:rFonts w:cstheme="minorHAnsi"/>
          <w:color w:val="000000"/>
          <w:shd w:val="clear" w:color="auto" w:fill="FFFFFF"/>
          <w:lang w:val="fr-BE"/>
        </w:rPr>
        <w:t xml:space="preserve">C’était en effet les seuls revenus du ménage. </w:t>
      </w:r>
      <w:r w:rsidRPr="0056359E">
        <w:rPr>
          <w:rFonts w:cstheme="minorHAnsi"/>
          <w:color w:val="000000"/>
          <w:shd w:val="clear" w:color="auto" w:fill="FFFFFF"/>
          <w:lang w:val="fr-BE"/>
        </w:rPr>
        <w:t>Le loyer éta</w:t>
      </w:r>
      <w:r>
        <w:rPr>
          <w:rFonts w:cstheme="minorHAnsi"/>
          <w:color w:val="000000"/>
          <w:shd w:val="clear" w:color="auto" w:fill="FFFFFF"/>
          <w:lang w:val="fr-BE"/>
        </w:rPr>
        <w:t>n</w:t>
      </w:r>
      <w:r w:rsidRPr="0056359E">
        <w:rPr>
          <w:rFonts w:cstheme="minorHAnsi"/>
          <w:color w:val="000000"/>
          <w:shd w:val="clear" w:color="auto" w:fill="FFFFFF"/>
          <w:lang w:val="fr-BE"/>
        </w:rPr>
        <w:t>t de 221,83</w:t>
      </w:r>
      <w:r w:rsidRPr="0056359E">
        <w:rPr>
          <w:rFonts w:cstheme="minorHAnsi"/>
          <w:color w:val="000000"/>
          <w:lang w:val="fr-BE"/>
        </w:rPr>
        <w:t xml:space="preserve"> €.</w:t>
      </w:r>
    </w:p>
    <w:p w14:paraId="24EC6A45" w14:textId="77777777" w:rsidR="00545D9B" w:rsidRPr="0056359E" w:rsidRDefault="00545D9B" w:rsidP="00636C36">
      <w:pPr>
        <w:rPr>
          <w:rFonts w:cstheme="minorHAnsi"/>
          <w:color w:val="000000"/>
          <w:lang w:val="fr-BE"/>
        </w:rPr>
      </w:pPr>
    </w:p>
    <w:p w14:paraId="56393512" w14:textId="77777777" w:rsidR="00636C36" w:rsidRPr="0056359E" w:rsidRDefault="00636C36" w:rsidP="00636C36">
      <w:pPr>
        <w:rPr>
          <w:rFonts w:cstheme="minorHAnsi"/>
          <w:color w:val="000000"/>
          <w:shd w:val="clear" w:color="auto" w:fill="FFFFFF"/>
          <w:lang w:val="nl-BE"/>
        </w:rPr>
      </w:pPr>
      <w:r w:rsidRPr="0056359E">
        <w:rPr>
          <w:rFonts w:cstheme="minorHAnsi"/>
          <w:color w:val="000000"/>
          <w:shd w:val="clear" w:color="auto" w:fill="FFFFFF"/>
          <w:lang w:val="fr-BE"/>
        </w:rPr>
        <w:t xml:space="preserve">Il n'y a pas de règle qui interdirait de prendre les </w:t>
      </w:r>
      <w:r w:rsidRPr="00747B3C">
        <w:rPr>
          <w:rFonts w:cstheme="minorHAnsi"/>
          <w:color w:val="000000"/>
          <w:shd w:val="clear" w:color="auto" w:fill="FFFFFF"/>
          <w:lang w:val="fr-BE"/>
        </w:rPr>
        <w:t>allocations familiales en</w:t>
      </w:r>
      <w:r w:rsidRPr="0056359E">
        <w:rPr>
          <w:rFonts w:cstheme="minorHAnsi"/>
          <w:color w:val="000000"/>
          <w:shd w:val="clear" w:color="auto" w:fill="FFFFFF"/>
          <w:lang w:val="fr-BE"/>
        </w:rPr>
        <w:t xml:space="preserve"> considération (</w:t>
      </w:r>
      <w:proofErr w:type="spellStart"/>
      <w:r w:rsidRPr="0056359E">
        <w:rPr>
          <w:rFonts w:cstheme="minorHAnsi"/>
          <w:color w:val="000000"/>
          <w:shd w:val="clear" w:color="auto" w:fill="FFFFFF"/>
          <w:lang w:val="fr-BE"/>
        </w:rPr>
        <w:t>voy</w:t>
      </w:r>
      <w:proofErr w:type="spellEnd"/>
      <w:r w:rsidRPr="0056359E">
        <w:rPr>
          <w:rFonts w:cstheme="minorHAnsi"/>
          <w:color w:val="000000"/>
          <w:shd w:val="clear" w:color="auto" w:fill="FFFFFF"/>
          <w:lang w:val="fr-BE"/>
        </w:rPr>
        <w:t xml:space="preserve">. </w:t>
      </w:r>
      <w:proofErr w:type="gramStart"/>
      <w:r>
        <w:rPr>
          <w:rFonts w:cstheme="minorHAnsi"/>
          <w:color w:val="000000"/>
          <w:shd w:val="clear" w:color="auto" w:fill="FFFFFF"/>
          <w:lang w:val="fr-BE"/>
        </w:rPr>
        <w:t>t</w:t>
      </w:r>
      <w:r w:rsidRPr="0056359E">
        <w:rPr>
          <w:rFonts w:cstheme="minorHAnsi"/>
          <w:color w:val="000000"/>
          <w:shd w:val="clear" w:color="auto" w:fill="FFFFFF"/>
          <w:lang w:val="fr-BE"/>
        </w:rPr>
        <w:t>outefois</w:t>
      </w:r>
      <w:proofErr w:type="gramEnd"/>
      <w:r w:rsidRPr="0056359E">
        <w:rPr>
          <w:rFonts w:cstheme="minorHAnsi"/>
          <w:color w:val="000000"/>
          <w:shd w:val="clear" w:color="auto" w:fill="FFFFFF"/>
          <w:lang w:val="fr-BE"/>
        </w:rPr>
        <w:t xml:space="preserve"> J.P. Neufchâteau, 4 novembre 2008, JJP 2010, 450, note de PATOUL F.). Par contre, si les allocations sont prises en considération il faut également prendre en compte les frais liés aux enfants. Ceux-ci sont unanimement considérés comme supérieurs aux allocations perçues </w:t>
      </w:r>
      <w:r w:rsidRPr="0056359E">
        <w:rPr>
          <w:rFonts w:cstheme="minorHAnsi"/>
          <w:lang w:val="fr-BE"/>
        </w:rPr>
        <w:t>(</w:t>
      </w:r>
      <w:proofErr w:type="spellStart"/>
      <w:r w:rsidRPr="0056359E">
        <w:rPr>
          <w:rFonts w:cstheme="minorHAnsi"/>
          <w:lang w:val="fr-BE"/>
        </w:rPr>
        <w:t>voy</w:t>
      </w:r>
      <w:proofErr w:type="spellEnd"/>
      <w:r w:rsidRPr="0056359E">
        <w:rPr>
          <w:rFonts w:cstheme="minorHAnsi"/>
          <w:lang w:val="fr-BE"/>
        </w:rPr>
        <w:t xml:space="preserve">. </w:t>
      </w:r>
      <w:r w:rsidRPr="0056359E">
        <w:rPr>
          <w:rFonts w:cstheme="minorHAnsi"/>
          <w:lang w:val="nl-BE"/>
        </w:rPr>
        <w:t xml:space="preserve">R. STEENNOT, "De beordeling van de </w:t>
      </w:r>
      <w:r w:rsidRPr="0056359E">
        <w:rPr>
          <w:rFonts w:cstheme="minorHAnsi"/>
          <w:lang w:val="nl-BE"/>
        </w:rPr>
        <w:lastRenderedPageBreak/>
        <w:t>terugbetalingsmogelijkheden van de consument: wat kost een kind ?", note sub J.P. Arendonk, 15 juin 2010, </w:t>
      </w:r>
      <w:r w:rsidRPr="0056359E">
        <w:rPr>
          <w:rFonts w:cstheme="minorHAnsi"/>
          <w:i/>
          <w:iCs/>
          <w:lang w:val="nl-BE"/>
        </w:rPr>
        <w:t>J.J.P.</w:t>
      </w:r>
      <w:r w:rsidRPr="0056359E">
        <w:rPr>
          <w:rFonts w:cstheme="minorHAnsi"/>
          <w:lang w:val="nl-BE"/>
        </w:rPr>
        <w:t xml:space="preserve"> 2013, 639,  citant une étude du Gezinsbond).</w:t>
      </w:r>
    </w:p>
    <w:p w14:paraId="6BB5E222" w14:textId="77777777" w:rsidR="00636C36" w:rsidRDefault="00636C36" w:rsidP="00636C36">
      <w:pPr>
        <w:rPr>
          <w:rFonts w:cstheme="minorHAnsi"/>
          <w:color w:val="000000"/>
          <w:shd w:val="clear" w:color="auto" w:fill="FFFFFF"/>
          <w:lang w:val="fr-BE"/>
        </w:rPr>
      </w:pPr>
      <w:r w:rsidRPr="0056359E">
        <w:rPr>
          <w:rFonts w:cstheme="minorHAnsi"/>
          <w:color w:val="000000"/>
          <w:shd w:val="clear" w:color="auto" w:fill="FFFFFF"/>
          <w:lang w:val="fr-BE"/>
        </w:rPr>
        <w:t>En prenant donc les revenus de la famille 2.417 € (=975 + 1.442) et en déduisant le loyer (221,83 €) et la mensualité du crédit (548,61 €), il restait 1.646,56 €.</w:t>
      </w:r>
    </w:p>
    <w:p w14:paraId="12C2FED3" w14:textId="77777777" w:rsidR="00636C36" w:rsidRPr="0056359E" w:rsidRDefault="00636C36" w:rsidP="00636C36">
      <w:pPr>
        <w:rPr>
          <w:rFonts w:cstheme="minorHAnsi"/>
          <w:color w:val="000000"/>
          <w:shd w:val="clear" w:color="auto" w:fill="FFFFFF"/>
          <w:lang w:val="fr-BE"/>
        </w:rPr>
      </w:pPr>
    </w:p>
    <w:p w14:paraId="5DB6AE88" w14:textId="1CB5A93E" w:rsidR="00636C36" w:rsidRDefault="00636C36" w:rsidP="00636C36">
      <w:pPr>
        <w:rPr>
          <w:rFonts w:cstheme="minorHAnsi"/>
          <w:color w:val="000000"/>
          <w:shd w:val="clear" w:color="auto" w:fill="FFFFFF"/>
          <w:lang w:val="fr-BE"/>
        </w:rPr>
      </w:pPr>
      <w:r w:rsidRPr="0056359E">
        <w:rPr>
          <w:rFonts w:cstheme="minorHAnsi"/>
          <w:color w:val="000000"/>
          <w:shd w:val="clear" w:color="auto" w:fill="FFFFFF"/>
          <w:lang w:val="fr-BE"/>
        </w:rPr>
        <w:t>S</w:t>
      </w:r>
      <w:r>
        <w:rPr>
          <w:rFonts w:cstheme="minorHAnsi"/>
          <w:color w:val="000000"/>
          <w:shd w:val="clear" w:color="auto" w:fill="FFFFFF"/>
          <w:lang w:val="fr-BE"/>
        </w:rPr>
        <w:t>i on ne tient pas compte des allocations familiales (s</w:t>
      </w:r>
      <w:r w:rsidRPr="0056359E">
        <w:rPr>
          <w:rFonts w:cstheme="minorHAnsi"/>
          <w:color w:val="000000"/>
          <w:shd w:val="clear" w:color="auto" w:fill="FFFFFF"/>
          <w:lang w:val="fr-BE"/>
        </w:rPr>
        <w:t>achant que le coût d’entretien et d’éducation des enfants est supérieur aux allocations familiales</w:t>
      </w:r>
      <w:r>
        <w:rPr>
          <w:rFonts w:cstheme="minorHAnsi"/>
          <w:color w:val="000000"/>
          <w:shd w:val="clear" w:color="auto" w:fill="FFFFFF"/>
          <w:lang w:val="fr-BE"/>
        </w:rPr>
        <w:t>)</w:t>
      </w:r>
      <w:r w:rsidRPr="0056359E">
        <w:rPr>
          <w:rFonts w:cstheme="minorHAnsi"/>
          <w:b/>
          <w:bCs/>
          <w:color w:val="000000"/>
          <w:shd w:val="clear" w:color="auto" w:fill="FFFFFF"/>
          <w:lang w:val="fr-BE"/>
        </w:rPr>
        <w:t>, il restait moins de 20</w:t>
      </w:r>
      <w:r>
        <w:rPr>
          <w:rFonts w:cstheme="minorHAnsi"/>
          <w:b/>
          <w:bCs/>
          <w:color w:val="000000"/>
          <w:shd w:val="clear" w:color="auto" w:fill="FFFFFF"/>
          <w:lang w:val="fr-BE"/>
        </w:rPr>
        <w:t>5</w:t>
      </w:r>
      <w:r w:rsidRPr="0056359E">
        <w:rPr>
          <w:rFonts w:cstheme="minorHAnsi"/>
          <w:b/>
          <w:bCs/>
          <w:color w:val="000000"/>
          <w:shd w:val="clear" w:color="auto" w:fill="FFFFFF"/>
          <w:lang w:val="fr-BE"/>
        </w:rPr>
        <w:t xml:space="preserve"> €</w:t>
      </w:r>
      <w:r>
        <w:rPr>
          <w:rFonts w:cstheme="minorHAnsi"/>
          <w:b/>
          <w:bCs/>
          <w:color w:val="000000"/>
          <w:shd w:val="clear" w:color="auto" w:fill="FFFFFF"/>
          <w:lang w:val="fr-BE"/>
        </w:rPr>
        <w:t xml:space="preserve"> par mois</w:t>
      </w:r>
      <w:r w:rsidRPr="0056359E">
        <w:rPr>
          <w:rFonts w:cstheme="minorHAnsi"/>
          <w:b/>
          <w:bCs/>
          <w:color w:val="000000"/>
          <w:shd w:val="clear" w:color="auto" w:fill="FFFFFF"/>
          <w:lang w:val="fr-BE"/>
        </w:rPr>
        <w:t xml:space="preserve"> à la famille</w:t>
      </w:r>
      <w:r w:rsidRPr="0056359E">
        <w:rPr>
          <w:rFonts w:cstheme="minorHAnsi"/>
          <w:color w:val="000000"/>
          <w:shd w:val="clear" w:color="auto" w:fill="FFFFFF"/>
          <w:lang w:val="fr-BE"/>
        </w:rPr>
        <w:t xml:space="preserve"> </w:t>
      </w:r>
      <w:r>
        <w:rPr>
          <w:rFonts w:cstheme="minorHAnsi"/>
          <w:color w:val="000000"/>
          <w:shd w:val="clear" w:color="auto" w:fill="FFFFFF"/>
          <w:lang w:val="fr-BE"/>
        </w:rPr>
        <w:t xml:space="preserve">après le paiement du loyer et la mensualité du crédit </w:t>
      </w:r>
      <w:r w:rsidRPr="0056359E">
        <w:rPr>
          <w:rFonts w:cstheme="minorHAnsi"/>
          <w:color w:val="000000"/>
          <w:shd w:val="clear" w:color="auto" w:fill="FFFFFF"/>
          <w:lang w:val="fr-BE"/>
        </w:rPr>
        <w:t xml:space="preserve">pour payer le gaz, l’électricité, l’eau, les soins de santé (Monsieur était invalide), les frais de transport, </w:t>
      </w:r>
      <w:r>
        <w:rPr>
          <w:rFonts w:cstheme="minorHAnsi"/>
          <w:color w:val="000000"/>
          <w:shd w:val="clear" w:color="auto" w:fill="FFFFFF"/>
          <w:lang w:val="fr-BE"/>
        </w:rPr>
        <w:t xml:space="preserve">la nourriture pour Monsieur et Madame (en supposant que les coûts de nourriture des enfants soient couverts par les allocations familiales), </w:t>
      </w:r>
      <w:r w:rsidRPr="0056359E">
        <w:rPr>
          <w:rFonts w:cstheme="minorHAnsi"/>
          <w:color w:val="000000"/>
          <w:shd w:val="clear" w:color="auto" w:fill="FFFFFF"/>
          <w:lang w:val="fr-BE"/>
        </w:rPr>
        <w:t xml:space="preserve">… </w:t>
      </w:r>
      <w:r>
        <w:rPr>
          <w:rFonts w:cstheme="minorHAnsi"/>
          <w:color w:val="000000"/>
          <w:shd w:val="clear" w:color="auto" w:fill="FFFFFF"/>
          <w:lang w:val="fr-BE"/>
        </w:rPr>
        <w:t xml:space="preserve">sans compter </w:t>
      </w:r>
      <w:r w:rsidRPr="0056359E">
        <w:rPr>
          <w:rFonts w:cstheme="minorHAnsi"/>
          <w:color w:val="000000"/>
          <w:shd w:val="clear" w:color="auto" w:fill="FFFFFF"/>
          <w:lang w:val="fr-BE"/>
        </w:rPr>
        <w:t>les crédits qui n’ont pas été consolidés dans le crédit de CITIBANK : 3 ouvertures de crédit + deux petits prêts dont la demande de crédit n’a pas tenu compte .</w:t>
      </w:r>
    </w:p>
    <w:p w14:paraId="002A70A4" w14:textId="77777777" w:rsidR="00545D9B" w:rsidRDefault="00545D9B" w:rsidP="00636C36">
      <w:pPr>
        <w:rPr>
          <w:rFonts w:cstheme="minorHAnsi"/>
          <w:color w:val="000000"/>
          <w:shd w:val="clear" w:color="auto" w:fill="FFFFFF"/>
          <w:lang w:val="fr-BE"/>
        </w:rPr>
      </w:pPr>
    </w:p>
    <w:p w14:paraId="445274FE" w14:textId="772FF122" w:rsidR="00636C36" w:rsidRDefault="00636C36" w:rsidP="00636C36">
      <w:pPr>
        <w:rPr>
          <w:rFonts w:cstheme="minorHAnsi"/>
          <w:color w:val="000000"/>
          <w:shd w:val="clear" w:color="auto" w:fill="FFFFFF"/>
          <w:lang w:val="fr-BE"/>
        </w:rPr>
      </w:pPr>
      <w:r>
        <w:rPr>
          <w:rFonts w:cstheme="minorHAnsi"/>
          <w:color w:val="000000"/>
          <w:shd w:val="clear" w:color="auto" w:fill="FFFFFF"/>
          <w:lang w:val="fr-BE"/>
        </w:rPr>
        <w:t xml:space="preserve">Si on tient compte des allocations familiales dans les revenus comme vous l’avez fait, la situation n’est pas meilleure puisqu’ il restait 55 euros par jour pour couvrir les besoins de 8 personnes (l’eau, le gaz, l’électricité, le téléphone, les frais scolaires, les frais de transport, les vêtements, l’hygiène, la nourriture, les soins de santé, </w:t>
      </w:r>
      <w:proofErr w:type="spellStart"/>
      <w:r>
        <w:rPr>
          <w:rFonts w:cstheme="minorHAnsi"/>
          <w:color w:val="000000"/>
          <w:shd w:val="clear" w:color="auto" w:fill="FFFFFF"/>
          <w:lang w:val="fr-BE"/>
        </w:rPr>
        <w:t>etc</w:t>
      </w:r>
      <w:proofErr w:type="spellEnd"/>
      <w:r>
        <w:rPr>
          <w:rFonts w:cstheme="minorHAnsi"/>
          <w:color w:val="000000"/>
          <w:shd w:val="clear" w:color="auto" w:fill="FFFFFF"/>
          <w:lang w:val="fr-BE"/>
        </w:rPr>
        <w:t xml:space="preserve">), soit moins de 7 euros par jour par personne. </w:t>
      </w:r>
    </w:p>
    <w:p w14:paraId="05428FFB" w14:textId="77777777" w:rsidR="00545D9B" w:rsidRPr="0056359E" w:rsidRDefault="00545D9B" w:rsidP="00636C36">
      <w:pPr>
        <w:rPr>
          <w:rFonts w:cstheme="minorHAnsi"/>
          <w:color w:val="000000"/>
          <w:shd w:val="clear" w:color="auto" w:fill="FFFFFF"/>
          <w:lang w:val="fr-BE"/>
        </w:rPr>
      </w:pPr>
    </w:p>
    <w:p w14:paraId="2A5F0918" w14:textId="3A2C12C8" w:rsidR="00636C36" w:rsidRDefault="00636C36" w:rsidP="00636C36">
      <w:pPr>
        <w:rPr>
          <w:rFonts w:cstheme="minorHAnsi"/>
          <w:lang w:val="fr-BE"/>
        </w:rPr>
      </w:pPr>
      <w:r w:rsidRPr="0056359E">
        <w:rPr>
          <w:rFonts w:cstheme="minorHAnsi"/>
          <w:color w:val="000000"/>
          <w:shd w:val="clear" w:color="auto" w:fill="FFFFFF"/>
          <w:lang w:val="fr-BE"/>
        </w:rPr>
        <w:t xml:space="preserve">La jurisprudence </w:t>
      </w:r>
      <w:r>
        <w:rPr>
          <w:rFonts w:cstheme="minorHAnsi"/>
          <w:color w:val="000000"/>
          <w:shd w:val="clear" w:color="auto" w:fill="FFFFFF"/>
          <w:lang w:val="fr-BE"/>
        </w:rPr>
        <w:t>ainsi que la position de l’administration</w:t>
      </w:r>
      <w:r>
        <w:rPr>
          <w:rStyle w:val="Appelnotedebasdep"/>
          <w:rFonts w:cstheme="minorHAnsi"/>
          <w:color w:val="000000"/>
          <w:shd w:val="clear" w:color="auto" w:fill="FFFFFF"/>
          <w:lang w:val="fr-BE"/>
        </w:rPr>
        <w:footnoteReference w:id="1"/>
      </w:r>
      <w:r>
        <w:rPr>
          <w:rFonts w:cstheme="minorHAnsi"/>
          <w:color w:val="000000"/>
          <w:shd w:val="clear" w:color="auto" w:fill="FFFFFF"/>
          <w:lang w:val="fr-BE"/>
        </w:rPr>
        <w:t xml:space="preserve"> </w:t>
      </w:r>
      <w:r w:rsidRPr="0056359E">
        <w:rPr>
          <w:rFonts w:cstheme="minorHAnsi"/>
          <w:color w:val="000000"/>
          <w:shd w:val="clear" w:color="auto" w:fill="FFFFFF"/>
          <w:lang w:val="fr-BE"/>
        </w:rPr>
        <w:t xml:space="preserve">est assez claire sur le sujet : </w:t>
      </w:r>
      <w:r w:rsidRPr="0056359E">
        <w:rPr>
          <w:rFonts w:cstheme="minorHAnsi"/>
          <w:lang w:val="fr-BE"/>
        </w:rPr>
        <w:t xml:space="preserve">c’est assez classiquement sur </w:t>
      </w:r>
      <w:r w:rsidRPr="00747B3C">
        <w:rPr>
          <w:rFonts w:cstheme="minorHAnsi"/>
          <w:lang w:val="fr-BE"/>
        </w:rPr>
        <w:t>une comparaison des revenus, charges et dettes existant au moment</w:t>
      </w:r>
      <w:r w:rsidRPr="0056359E">
        <w:rPr>
          <w:rFonts w:cstheme="minorHAnsi"/>
          <w:lang w:val="fr-BE"/>
        </w:rPr>
        <w:t xml:space="preserve"> de la conclusion du contrat que les juridictions déterminent si le crédit a été accordé à juste titre (</w:t>
      </w:r>
      <w:proofErr w:type="spellStart"/>
      <w:r w:rsidRPr="0056359E">
        <w:rPr>
          <w:rFonts w:cstheme="minorHAnsi"/>
          <w:lang w:val="fr-BE"/>
        </w:rPr>
        <w:t>Civ</w:t>
      </w:r>
      <w:proofErr w:type="spellEnd"/>
      <w:r w:rsidRPr="0056359E">
        <w:rPr>
          <w:rFonts w:cstheme="minorHAnsi"/>
          <w:lang w:val="fr-BE"/>
        </w:rPr>
        <w:t xml:space="preserve">. Bruges, 20 mars 1998, </w:t>
      </w:r>
      <w:r w:rsidRPr="0056359E">
        <w:rPr>
          <w:rStyle w:val="Accentuation"/>
          <w:rFonts w:cstheme="minorHAnsi"/>
          <w:lang w:val="fr-BE"/>
        </w:rPr>
        <w:t>J.J.P</w:t>
      </w:r>
      <w:r w:rsidRPr="0056359E">
        <w:rPr>
          <w:rFonts w:cstheme="minorHAnsi"/>
          <w:lang w:val="fr-BE"/>
        </w:rPr>
        <w:t xml:space="preserve">., 1998, p. 589 et </w:t>
      </w:r>
      <w:r w:rsidRPr="0056359E">
        <w:rPr>
          <w:rStyle w:val="Accentuation"/>
          <w:rFonts w:cstheme="minorHAnsi"/>
          <w:lang w:val="fr-BE"/>
        </w:rPr>
        <w:t>Ann. Crédit</w:t>
      </w:r>
      <w:r w:rsidRPr="0056359E">
        <w:rPr>
          <w:rFonts w:cstheme="minorHAnsi"/>
          <w:lang w:val="fr-BE"/>
        </w:rPr>
        <w:t xml:space="preserve">, 1998, p. 131).  Ainsi le juge de paix de St </w:t>
      </w:r>
      <w:proofErr w:type="spellStart"/>
      <w:r w:rsidRPr="0056359E">
        <w:rPr>
          <w:rFonts w:cstheme="minorHAnsi"/>
          <w:lang w:val="fr-BE"/>
        </w:rPr>
        <w:t>Niklaas</w:t>
      </w:r>
      <w:proofErr w:type="spellEnd"/>
      <w:r w:rsidRPr="0056359E">
        <w:rPr>
          <w:rFonts w:cstheme="minorHAnsi"/>
          <w:lang w:val="fr-BE"/>
        </w:rPr>
        <w:t xml:space="preserve"> considère-t-il que le prêteur a commis une faute en accordant un prêt à un consommateur dont la charge de remboursement ajoutée à celle des autres crédits en cours représentait 57% des revenus du consommateur (J.P. St </w:t>
      </w:r>
      <w:proofErr w:type="spellStart"/>
      <w:r w:rsidRPr="0056359E">
        <w:rPr>
          <w:rFonts w:cstheme="minorHAnsi"/>
          <w:lang w:val="fr-BE"/>
        </w:rPr>
        <w:t>Niklaas</w:t>
      </w:r>
      <w:proofErr w:type="spellEnd"/>
      <w:r w:rsidRPr="0056359E">
        <w:rPr>
          <w:rFonts w:cstheme="minorHAnsi"/>
          <w:lang w:val="fr-BE"/>
        </w:rPr>
        <w:t xml:space="preserve">, 6 mars 2002, </w:t>
      </w:r>
      <w:r w:rsidRPr="0056359E">
        <w:rPr>
          <w:rStyle w:val="Accentuation"/>
          <w:rFonts w:cstheme="minorHAnsi"/>
          <w:lang w:val="fr-BE"/>
        </w:rPr>
        <w:t>Ann. Crédit</w:t>
      </w:r>
      <w:r w:rsidRPr="0056359E">
        <w:rPr>
          <w:rFonts w:cstheme="minorHAnsi"/>
          <w:lang w:val="fr-BE"/>
        </w:rPr>
        <w:t>, 2002, p. 129).</w:t>
      </w:r>
    </w:p>
    <w:p w14:paraId="47D9638A" w14:textId="77777777" w:rsidR="00545D9B" w:rsidRPr="0056359E" w:rsidRDefault="00545D9B" w:rsidP="00636C36">
      <w:pPr>
        <w:rPr>
          <w:rFonts w:cstheme="minorHAnsi"/>
          <w:color w:val="000000"/>
          <w:shd w:val="clear" w:color="auto" w:fill="FFFFFF"/>
          <w:lang w:val="fr-BE"/>
        </w:rPr>
      </w:pPr>
    </w:p>
    <w:p w14:paraId="1AECA8E0" w14:textId="77777777" w:rsidR="00636C36" w:rsidRPr="0056359E" w:rsidRDefault="00636C36" w:rsidP="00636C36">
      <w:pPr>
        <w:rPr>
          <w:rFonts w:cstheme="minorHAnsi"/>
          <w:color w:val="000000"/>
          <w:shd w:val="clear" w:color="auto" w:fill="FFFFFF"/>
          <w:lang w:val="fr-BE"/>
        </w:rPr>
      </w:pPr>
      <w:r w:rsidRPr="0056359E">
        <w:rPr>
          <w:rFonts w:cstheme="minorHAnsi"/>
          <w:color w:val="000000"/>
          <w:shd w:val="clear" w:color="auto" w:fill="FFFFFF"/>
          <w:lang w:val="fr-BE"/>
        </w:rPr>
        <w:t xml:space="preserve">D’autre part vous saviez qu’il s’agissait déjà au moins du </w:t>
      </w:r>
      <w:r w:rsidRPr="0056359E">
        <w:rPr>
          <w:rFonts w:cstheme="minorHAnsi"/>
          <w:b/>
          <w:bCs/>
          <w:color w:val="000000"/>
          <w:shd w:val="clear" w:color="auto" w:fill="FFFFFF"/>
          <w:lang w:val="fr-BE"/>
        </w:rPr>
        <w:t>troisième prêt</w:t>
      </w:r>
      <w:r w:rsidRPr="0056359E">
        <w:rPr>
          <w:rFonts w:cstheme="minorHAnsi"/>
          <w:color w:val="000000"/>
          <w:shd w:val="clear" w:color="auto" w:fill="FFFFFF"/>
          <w:lang w:val="fr-BE"/>
        </w:rPr>
        <w:t xml:space="preserve"> que Monsieur et Madame demandaient à CITIBANK. Ce prêt-ci remboursait un prêt de 25.000 € signé en 05/2008 (moins d’un an avant !) qui lui-même remboursait un prêt avec une mensualité de 223 €. </w:t>
      </w:r>
    </w:p>
    <w:p w14:paraId="041753F9" w14:textId="77777777" w:rsidR="00636C36" w:rsidRPr="0056359E" w:rsidRDefault="00636C36" w:rsidP="00636C36">
      <w:pPr>
        <w:spacing w:before="100" w:beforeAutospacing="1" w:after="100" w:afterAutospacing="1"/>
        <w:rPr>
          <w:rFonts w:cstheme="minorHAnsi"/>
          <w:lang w:val="fr-BE"/>
        </w:rPr>
      </w:pPr>
      <w:r w:rsidRPr="0056359E">
        <w:rPr>
          <w:rFonts w:cstheme="minorHAnsi"/>
          <w:lang w:val="fr-BE"/>
        </w:rPr>
        <w:t xml:space="preserve">Il est unanimement considéré que le remboursement d'un crédit au moyen d'un autre ou le </w:t>
      </w:r>
      <w:r w:rsidRPr="00747B3C">
        <w:rPr>
          <w:rFonts w:cstheme="minorHAnsi"/>
          <w:lang w:val="fr-BE"/>
        </w:rPr>
        <w:t>regroupement de dettes dégage un signal négatif</w:t>
      </w:r>
      <w:r w:rsidRPr="0056359E">
        <w:rPr>
          <w:rFonts w:cstheme="minorHAnsi"/>
          <w:lang w:val="fr-BE"/>
        </w:rPr>
        <w:t xml:space="preserve"> qui n’est pas, en soi, une raison pour refuser l’opération mais qui doit inciter le prêteur à être « deux fois plus prudent ». Il incombe particulièrement au prêteur de vérifier dans ces opérations l’utilité du prêt et de s’abstenir si cette opération est sans avantage pour le consommateur et qu’il s’agit simplement de </w:t>
      </w:r>
      <w:r w:rsidRPr="0056359E">
        <w:rPr>
          <w:rFonts w:cstheme="minorHAnsi"/>
          <w:i/>
          <w:iCs/>
          <w:lang w:val="fr-BE"/>
        </w:rPr>
        <w:t>faire un trou pour en combler un autre</w:t>
      </w:r>
      <w:r w:rsidRPr="0056359E">
        <w:rPr>
          <w:rFonts w:cstheme="minorHAnsi"/>
          <w:lang w:val="fr-BE"/>
        </w:rPr>
        <w:t xml:space="preserve">, selon l’expression fréquemment utilisée (“de </w:t>
      </w:r>
      <w:proofErr w:type="spellStart"/>
      <w:r w:rsidRPr="0056359E">
        <w:rPr>
          <w:rFonts w:cstheme="minorHAnsi"/>
          <w:lang w:val="fr-BE"/>
        </w:rPr>
        <w:t>ene</w:t>
      </w:r>
      <w:proofErr w:type="spellEnd"/>
      <w:r w:rsidRPr="0056359E">
        <w:rPr>
          <w:rFonts w:cstheme="minorHAnsi"/>
          <w:lang w:val="fr-BE"/>
        </w:rPr>
        <w:t xml:space="preserve"> put </w:t>
      </w:r>
      <w:proofErr w:type="spellStart"/>
      <w:r w:rsidRPr="0056359E">
        <w:rPr>
          <w:rFonts w:cstheme="minorHAnsi"/>
          <w:lang w:val="fr-BE"/>
        </w:rPr>
        <w:t>vullen</w:t>
      </w:r>
      <w:proofErr w:type="spellEnd"/>
      <w:r w:rsidRPr="0056359E">
        <w:rPr>
          <w:rFonts w:cstheme="minorHAnsi"/>
          <w:lang w:val="fr-BE"/>
        </w:rPr>
        <w:t xml:space="preserve"> met de </w:t>
      </w:r>
      <w:proofErr w:type="spellStart"/>
      <w:r w:rsidRPr="0056359E">
        <w:rPr>
          <w:rFonts w:cstheme="minorHAnsi"/>
          <w:lang w:val="fr-BE"/>
        </w:rPr>
        <w:t>andere</w:t>
      </w:r>
      <w:proofErr w:type="spellEnd"/>
      <w:r w:rsidRPr="0056359E">
        <w:rPr>
          <w:rFonts w:cstheme="minorHAnsi"/>
          <w:lang w:val="fr-BE"/>
        </w:rPr>
        <w:t xml:space="preserve">”, </w:t>
      </w:r>
      <w:proofErr w:type="spellStart"/>
      <w:r w:rsidRPr="0056359E">
        <w:rPr>
          <w:rFonts w:cstheme="minorHAnsi"/>
          <w:lang w:val="fr-BE"/>
        </w:rPr>
        <w:t>voy</w:t>
      </w:r>
      <w:proofErr w:type="spellEnd"/>
      <w:r w:rsidRPr="0056359E">
        <w:rPr>
          <w:rFonts w:cstheme="minorHAnsi"/>
          <w:lang w:val="fr-BE"/>
        </w:rPr>
        <w:t xml:space="preserve">. </w:t>
      </w:r>
      <w:proofErr w:type="gramStart"/>
      <w:r w:rsidRPr="0056359E">
        <w:rPr>
          <w:rFonts w:cstheme="minorHAnsi"/>
          <w:lang w:val="fr-BE"/>
        </w:rPr>
        <w:t>par</w:t>
      </w:r>
      <w:proofErr w:type="gramEnd"/>
      <w:r w:rsidRPr="0056359E">
        <w:rPr>
          <w:rFonts w:cstheme="minorHAnsi"/>
          <w:lang w:val="fr-BE"/>
        </w:rPr>
        <w:t xml:space="preserve"> ex. J.P. Waregem, 2 décembre 2003, Ann. Crédit, 2003, p. 48). Voir la jurisprudence à ce sujet</w:t>
      </w:r>
      <w:r w:rsidRPr="0056359E">
        <w:rPr>
          <w:rStyle w:val="Appelnotedebasdep"/>
          <w:rFonts w:cstheme="minorHAnsi"/>
          <w:lang w:val="fr-BE"/>
        </w:rPr>
        <w:footnoteReference w:id="2"/>
      </w:r>
    </w:p>
    <w:p w14:paraId="44A421A7" w14:textId="77777777" w:rsidR="00636C36" w:rsidRPr="00747B3C" w:rsidRDefault="00636C36" w:rsidP="00636C36">
      <w:pPr>
        <w:rPr>
          <w:rFonts w:cstheme="minorHAnsi"/>
          <w:color w:val="000000"/>
          <w:shd w:val="clear" w:color="auto" w:fill="FFFFFF"/>
          <w:lang w:val="fr-BE"/>
        </w:rPr>
      </w:pPr>
      <w:r w:rsidRPr="0056359E">
        <w:rPr>
          <w:rFonts w:cstheme="minorHAnsi"/>
          <w:color w:val="000000"/>
          <w:shd w:val="clear" w:color="auto" w:fill="FFFFFF"/>
          <w:lang w:val="fr-BE"/>
        </w:rPr>
        <w:lastRenderedPageBreak/>
        <w:t xml:space="preserve">Si Monsieur demandait une augmentation de son crédit, </w:t>
      </w:r>
      <w:r w:rsidRPr="00747B3C">
        <w:rPr>
          <w:rFonts w:cstheme="minorHAnsi"/>
          <w:color w:val="000000"/>
          <w:shd w:val="clear" w:color="auto" w:fill="FFFFFF"/>
          <w:lang w:val="fr-BE"/>
        </w:rPr>
        <w:t>c’est certainement qu’il avait déjà des difficultés de paiement. En examinant sa situation financière (faibles revenus, nombre de crédits, consolidation de crédits) vous ne pouviez pas ne pas voir qu’il ne pourrait pas respecter ses engagements.</w:t>
      </w:r>
    </w:p>
    <w:p w14:paraId="67ABCF1E" w14:textId="77777777" w:rsidR="00636C36" w:rsidRPr="00747B3C" w:rsidRDefault="00636C36" w:rsidP="00636C36">
      <w:pPr>
        <w:rPr>
          <w:rFonts w:cstheme="minorHAnsi"/>
          <w:color w:val="000000"/>
          <w:shd w:val="clear" w:color="auto" w:fill="FFFFFF"/>
          <w:lang w:val="fr-BE"/>
        </w:rPr>
      </w:pPr>
      <w:r w:rsidRPr="00747B3C">
        <w:rPr>
          <w:rFonts w:cstheme="minorHAnsi"/>
          <w:color w:val="000000"/>
          <w:shd w:val="clear" w:color="auto" w:fill="FFFFFF"/>
          <w:lang w:val="fr-BE"/>
        </w:rPr>
        <w:t xml:space="preserve">Or, le prêteur ne peut conclure de contrat de crédit que s’il peut raisonnablement estimer que le consommateur sera à même de respecter les obligations découlant du contrat. </w:t>
      </w:r>
    </w:p>
    <w:p w14:paraId="4535AEBB" w14:textId="77777777" w:rsidR="00636C36" w:rsidRPr="00747B3C" w:rsidRDefault="00636C36" w:rsidP="00636C36">
      <w:pPr>
        <w:rPr>
          <w:rFonts w:cstheme="minorHAnsi"/>
          <w:color w:val="000000"/>
          <w:shd w:val="clear" w:color="auto" w:fill="FFFFFF"/>
          <w:lang w:val="fr-BE"/>
        </w:rPr>
      </w:pPr>
      <w:r w:rsidRPr="00747B3C">
        <w:rPr>
          <w:rFonts w:cstheme="minorHAnsi"/>
          <w:color w:val="000000"/>
          <w:shd w:val="clear" w:color="auto" w:fill="FFFFFF"/>
          <w:lang w:val="fr-BE"/>
        </w:rPr>
        <w:t>Vous ne pouvez ignorer que, la sanction prévue par l’article 92 de la loi est la possibilité pour le juge de relever le consommateur de tout ou partie des intérêts de retard et de réduire ses obligations jusqu’au prix au comptant ou au montant emprunté. Le consommateur conservant le bénéfice de l’échelonnement des paiements.</w:t>
      </w:r>
    </w:p>
    <w:p w14:paraId="377D06F0" w14:textId="77777777" w:rsidR="00636C36" w:rsidRPr="00747B3C" w:rsidRDefault="00636C36" w:rsidP="00636C36">
      <w:pPr>
        <w:rPr>
          <w:rFonts w:cstheme="minorHAnsi"/>
          <w:lang w:val="fr-BE"/>
        </w:rPr>
      </w:pPr>
    </w:p>
    <w:p w14:paraId="527FF835" w14:textId="6DB99892" w:rsidR="00636C36" w:rsidRDefault="00636C36" w:rsidP="00636C36">
      <w:pPr>
        <w:rPr>
          <w:rFonts w:cstheme="minorHAnsi"/>
          <w:lang w:val="fr-BE"/>
        </w:rPr>
      </w:pPr>
      <w:r w:rsidRPr="00747B3C">
        <w:rPr>
          <w:rFonts w:cstheme="minorHAnsi"/>
          <w:lang w:val="fr-BE"/>
        </w:rPr>
        <w:t>Finalement nous vous signalons que certaines mentions obligatoires ne figurent pas dans le contrat de crédit que Monsieur et Madame ont reçu : la date, l’adresse précise du lieu de</w:t>
      </w:r>
      <w:r w:rsidRPr="0056359E">
        <w:rPr>
          <w:rFonts w:cstheme="minorHAnsi"/>
          <w:lang w:val="fr-BE"/>
        </w:rPr>
        <w:t xml:space="preserve"> signature, la signature écrite de la main du consommateur ne figure</w:t>
      </w:r>
      <w:r>
        <w:rPr>
          <w:rFonts w:cstheme="minorHAnsi"/>
          <w:lang w:val="fr-BE"/>
        </w:rPr>
        <w:t>nt</w:t>
      </w:r>
      <w:r w:rsidRPr="0056359E">
        <w:rPr>
          <w:rFonts w:cstheme="minorHAnsi"/>
          <w:lang w:val="fr-BE"/>
        </w:rPr>
        <w:t xml:space="preserve"> pas</w:t>
      </w:r>
      <w:r>
        <w:rPr>
          <w:rFonts w:cstheme="minorHAnsi"/>
          <w:lang w:val="fr-BE"/>
        </w:rPr>
        <w:t xml:space="preserve"> ainsi</w:t>
      </w:r>
      <w:r w:rsidRPr="0056359E">
        <w:rPr>
          <w:rFonts w:cstheme="minorHAnsi"/>
          <w:lang w:val="fr-BE"/>
        </w:rPr>
        <w:t xml:space="preserve"> </w:t>
      </w:r>
      <w:r>
        <w:rPr>
          <w:rFonts w:cstheme="minorHAnsi"/>
          <w:lang w:val="fr-BE"/>
        </w:rPr>
        <w:t>que l</w:t>
      </w:r>
      <w:r w:rsidRPr="0056359E">
        <w:rPr>
          <w:rFonts w:cstheme="minorHAnsi"/>
          <w:lang w:val="fr-BE"/>
        </w:rPr>
        <w:t xml:space="preserve">a mention manuscrite obligatoire « lu et approuvé pour 46.083,24 € à rembourser » (art.14 LCC). Vous ne pouvez ignorer que la sanction prévue par l’article 86 de la loi est soit l’annulation du contrat soit la réduction des obligations du consommateur au maximum jusqu’au prix au comptant ou au montant emprunté. </w:t>
      </w:r>
    </w:p>
    <w:p w14:paraId="041F1C3E" w14:textId="77777777" w:rsidR="00636C36" w:rsidRDefault="00636C36" w:rsidP="00636C36">
      <w:pPr>
        <w:rPr>
          <w:rFonts w:cstheme="minorHAnsi"/>
          <w:lang w:val="fr-BE"/>
        </w:rPr>
      </w:pPr>
    </w:p>
    <w:p w14:paraId="1261ECFD" w14:textId="7A9E7EA6" w:rsidR="00636C36" w:rsidRDefault="00636C36" w:rsidP="00636C36">
      <w:pPr>
        <w:rPr>
          <w:rFonts w:cstheme="minorHAnsi"/>
          <w:color w:val="000000"/>
          <w:shd w:val="clear" w:color="auto" w:fill="FFFFFF"/>
          <w:lang w:val="fr-BE"/>
        </w:rPr>
      </w:pPr>
      <w:r w:rsidRPr="0056359E">
        <w:rPr>
          <w:rFonts w:cstheme="minorHAnsi"/>
          <w:color w:val="000000"/>
          <w:shd w:val="clear" w:color="auto" w:fill="FFFFFF"/>
          <w:lang w:val="fr-BE"/>
        </w:rPr>
        <w:t xml:space="preserve">C’est sur base de tous ces éléments que dans notre mail du 29/06/2021 nous vous demandions de clôturer le dossier et d’envoyer une mainlevée au SPF Finances, Monsieur </w:t>
      </w:r>
      <w:r w:rsidR="00432E2B" w:rsidRPr="00DA2106">
        <w:rPr>
          <w:rFonts w:cstheme="minorHAnsi"/>
          <w:color w:val="000000"/>
          <w:highlight w:val="black"/>
          <w:shd w:val="clear" w:color="auto" w:fill="FFFFFF"/>
          <w:lang w:val="fr-BE"/>
        </w:rPr>
        <w:t>XXX</w:t>
      </w:r>
      <w:r w:rsidRPr="0056359E">
        <w:rPr>
          <w:rFonts w:cstheme="minorHAnsi"/>
          <w:color w:val="000000"/>
          <w:shd w:val="clear" w:color="auto" w:fill="FFFFFF"/>
          <w:lang w:val="fr-BE"/>
        </w:rPr>
        <w:t xml:space="preserve"> ayant </w:t>
      </w:r>
      <w:r>
        <w:rPr>
          <w:rFonts w:cstheme="minorHAnsi"/>
          <w:color w:val="000000"/>
          <w:shd w:val="clear" w:color="auto" w:fill="FFFFFF"/>
          <w:lang w:val="fr-BE"/>
        </w:rPr>
        <w:t xml:space="preserve">montré sa bonne foi depuis 2011 en payant volontairement 100 euros par mois alors que ses revenus étaient en deçà des quotités saisissables et en </w:t>
      </w:r>
      <w:r w:rsidRPr="0056359E">
        <w:rPr>
          <w:rFonts w:cstheme="minorHAnsi"/>
          <w:color w:val="000000"/>
          <w:shd w:val="clear" w:color="auto" w:fill="FFFFFF"/>
          <w:lang w:val="fr-BE"/>
        </w:rPr>
        <w:t>rembours</w:t>
      </w:r>
      <w:r>
        <w:rPr>
          <w:rFonts w:cstheme="minorHAnsi"/>
          <w:color w:val="000000"/>
          <w:shd w:val="clear" w:color="auto" w:fill="FFFFFF"/>
          <w:lang w:val="fr-BE"/>
        </w:rPr>
        <w:t xml:space="preserve">ant ainsi </w:t>
      </w:r>
      <w:r w:rsidRPr="0056359E">
        <w:rPr>
          <w:rFonts w:cstheme="minorHAnsi"/>
          <w:color w:val="000000"/>
          <w:shd w:val="clear" w:color="auto" w:fill="FFFFFF"/>
          <w:lang w:val="fr-BE"/>
        </w:rPr>
        <w:t>la totalité du capital emprunté.</w:t>
      </w:r>
    </w:p>
    <w:p w14:paraId="4E27900D" w14:textId="77777777" w:rsidR="00636C36" w:rsidRPr="0056359E" w:rsidRDefault="00636C36" w:rsidP="00636C36">
      <w:pPr>
        <w:rPr>
          <w:rFonts w:cstheme="minorHAnsi"/>
          <w:color w:val="000000"/>
          <w:shd w:val="clear" w:color="auto" w:fill="FFFFFF"/>
          <w:lang w:val="fr-BE"/>
        </w:rPr>
      </w:pPr>
    </w:p>
    <w:p w14:paraId="51CD5052" w14:textId="77777777" w:rsidR="00636C36" w:rsidRPr="0056359E" w:rsidRDefault="00636C36" w:rsidP="00636C36">
      <w:pPr>
        <w:rPr>
          <w:rFonts w:cstheme="minorHAnsi"/>
          <w:color w:val="000000"/>
          <w:shd w:val="clear" w:color="auto" w:fill="FFFFFF"/>
          <w:lang w:val="fr-BE"/>
        </w:rPr>
      </w:pPr>
      <w:r w:rsidRPr="0056359E">
        <w:rPr>
          <w:rFonts w:cstheme="minorHAnsi"/>
          <w:color w:val="000000"/>
          <w:shd w:val="clear" w:color="auto" w:fill="FFFFFF"/>
          <w:lang w:val="fr-BE"/>
        </w:rPr>
        <w:t xml:space="preserve">Il est à noter </w:t>
      </w:r>
      <w:r w:rsidRPr="00747B3C">
        <w:rPr>
          <w:rFonts w:cstheme="minorHAnsi"/>
          <w:color w:val="000000"/>
          <w:shd w:val="clear" w:color="auto" w:fill="FFFFFF"/>
          <w:lang w:val="fr-BE"/>
        </w:rPr>
        <w:t>que la situation financière de Monsieur est toujours précaire. Monsieur</w:t>
      </w:r>
      <w:r w:rsidRPr="0056359E">
        <w:rPr>
          <w:rFonts w:cstheme="minorHAnsi"/>
          <w:color w:val="000000"/>
          <w:shd w:val="clear" w:color="auto" w:fill="FFFFFF"/>
          <w:lang w:val="fr-BE"/>
        </w:rPr>
        <w:t xml:space="preserve"> est pensionné</w:t>
      </w:r>
      <w:r>
        <w:rPr>
          <w:rFonts w:cstheme="minorHAnsi"/>
          <w:color w:val="000000"/>
          <w:shd w:val="clear" w:color="auto" w:fill="FFFFFF"/>
          <w:lang w:val="fr-BE"/>
        </w:rPr>
        <w:t xml:space="preserve">. Il est âgé de 67 ans </w:t>
      </w:r>
      <w:r w:rsidRPr="0056359E">
        <w:rPr>
          <w:rFonts w:cstheme="minorHAnsi"/>
          <w:color w:val="000000"/>
          <w:shd w:val="clear" w:color="auto" w:fill="FFFFFF"/>
          <w:lang w:val="fr-BE"/>
        </w:rPr>
        <w:t xml:space="preserve">et sa pension est </w:t>
      </w:r>
      <w:r>
        <w:rPr>
          <w:rFonts w:cstheme="minorHAnsi"/>
          <w:color w:val="000000"/>
          <w:shd w:val="clear" w:color="auto" w:fill="FFFFFF"/>
          <w:lang w:val="fr-BE"/>
        </w:rPr>
        <w:t>de 1.490 euros avec 4 enfants à charge (</w:t>
      </w:r>
      <w:r w:rsidRPr="0056359E">
        <w:rPr>
          <w:rFonts w:cstheme="minorHAnsi"/>
          <w:color w:val="000000"/>
          <w:shd w:val="clear" w:color="auto" w:fill="FFFFFF"/>
          <w:lang w:val="fr-BE"/>
        </w:rPr>
        <w:t>toujours en-dessous du montant saisissable</w:t>
      </w:r>
      <w:r>
        <w:rPr>
          <w:rFonts w:cstheme="minorHAnsi"/>
          <w:color w:val="000000"/>
          <w:shd w:val="clear" w:color="auto" w:fill="FFFFFF"/>
          <w:lang w:val="fr-BE"/>
        </w:rPr>
        <w:t>)</w:t>
      </w:r>
      <w:r w:rsidRPr="0056359E">
        <w:rPr>
          <w:rFonts w:cstheme="minorHAnsi"/>
          <w:color w:val="000000"/>
          <w:shd w:val="clear" w:color="auto" w:fill="FFFFFF"/>
          <w:lang w:val="fr-BE"/>
        </w:rPr>
        <w:t>.</w:t>
      </w:r>
      <w:r>
        <w:rPr>
          <w:rFonts w:cstheme="minorHAnsi"/>
          <w:color w:val="000000"/>
          <w:shd w:val="clear" w:color="auto" w:fill="FFFFFF"/>
          <w:lang w:val="fr-BE"/>
        </w:rPr>
        <w:t xml:space="preserve"> Son épouse n’a aucun revenu. Ils sont locataires et ne sont actuellement plus en mesure de pouvoir proposer 100 euros par mois</w:t>
      </w:r>
    </w:p>
    <w:p w14:paraId="4C8F2C49" w14:textId="77777777" w:rsidR="00636C36" w:rsidRDefault="00636C36" w:rsidP="00636C36">
      <w:pPr>
        <w:rPr>
          <w:iCs/>
          <w:lang w:val="fr-BE"/>
        </w:rPr>
      </w:pPr>
    </w:p>
    <w:p w14:paraId="2BA2C5D6" w14:textId="3F042097" w:rsidR="00636C36" w:rsidRDefault="00636C36" w:rsidP="00636C36">
      <w:pPr>
        <w:rPr>
          <w:iCs/>
          <w:lang w:val="fr-BE"/>
        </w:rPr>
      </w:pPr>
      <w:r w:rsidRPr="00F4391A">
        <w:rPr>
          <w:iCs/>
          <w:lang w:val="fr-BE"/>
        </w:rPr>
        <w:t xml:space="preserve">En vous remerciant d’avance des suites que vous voudrez bien réserver à ce courrier, nous vous prions de recevoir nos salutations distinguées. </w:t>
      </w:r>
    </w:p>
    <w:p w14:paraId="1C63281C" w14:textId="77777777" w:rsidR="00545D9B" w:rsidRPr="00F4391A" w:rsidRDefault="00545D9B" w:rsidP="00636C36">
      <w:pPr>
        <w:rPr>
          <w:rFonts w:cstheme="minorHAnsi"/>
          <w:iCs/>
          <w:lang w:val="fr-BE"/>
        </w:rPr>
      </w:pPr>
    </w:p>
    <w:p w14:paraId="1E8C6A00" w14:textId="61A98299" w:rsidR="00636C36" w:rsidRPr="0056359E" w:rsidRDefault="00545D9B" w:rsidP="00636C36">
      <w:pPr>
        <w:jc w:val="both"/>
        <w:rPr>
          <w:rFonts w:eastAsia="Calibri" w:cstheme="minorHAnsi"/>
          <w:lang w:val="fr-BE"/>
        </w:rPr>
      </w:pPr>
      <w:r>
        <w:rPr>
          <w:rFonts w:cstheme="minorHAnsi"/>
          <w:noProof/>
          <w:lang w:val="fr-BE" w:eastAsia="fr-BE"/>
        </w:rPr>
        <w:drawing>
          <wp:anchor distT="0" distB="0" distL="114300" distR="114300" simplePos="0" relativeHeight="251661312" behindDoc="1" locked="0" layoutInCell="1" allowOverlap="1" wp14:anchorId="6952482B" wp14:editId="035BB679">
            <wp:simplePos x="0" y="0"/>
            <wp:positionH relativeFrom="column">
              <wp:posOffset>-147955</wp:posOffset>
            </wp:positionH>
            <wp:positionV relativeFrom="paragraph">
              <wp:posOffset>248920</wp:posOffset>
            </wp:positionV>
            <wp:extent cx="2781300" cy="110080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300" cy="1100809"/>
                    </a:xfrm>
                    <a:prstGeom prst="rect">
                      <a:avLst/>
                    </a:prstGeom>
                  </pic:spPr>
                </pic:pic>
              </a:graphicData>
            </a:graphic>
            <wp14:sizeRelH relativeFrom="margin">
              <wp14:pctWidth>0</wp14:pctWidth>
            </wp14:sizeRelH>
            <wp14:sizeRelV relativeFrom="margin">
              <wp14:pctHeight>0</wp14:pctHeight>
            </wp14:sizeRelV>
          </wp:anchor>
        </w:drawing>
      </w:r>
      <w:r w:rsidR="00636C36" w:rsidRPr="0056359E">
        <w:rPr>
          <w:rFonts w:eastAsia="Calibri" w:cstheme="minorHAnsi"/>
          <w:lang w:val="fr-BE"/>
        </w:rPr>
        <w:t>La présente vous est adressée sous toutes les réserves d’usage et sans reconnaissance préjudiciable ni opposable.</w:t>
      </w:r>
    </w:p>
    <w:p w14:paraId="0BCB51E1" w14:textId="7BAAC2EF" w:rsidR="00636C36" w:rsidRPr="0056359E" w:rsidRDefault="00636C36" w:rsidP="00636C36">
      <w:pPr>
        <w:rPr>
          <w:rFonts w:cstheme="minorHAnsi"/>
          <w:lang w:val="fr-BE"/>
        </w:rPr>
      </w:pPr>
    </w:p>
    <w:p w14:paraId="281BACD4" w14:textId="659A3DF6" w:rsidR="00636C36" w:rsidRDefault="00636C36" w:rsidP="00636C36">
      <w:pPr>
        <w:rPr>
          <w:rFonts w:cstheme="minorHAnsi"/>
          <w:lang w:val="fr-BE"/>
        </w:rPr>
      </w:pPr>
    </w:p>
    <w:p w14:paraId="1E5ED793" w14:textId="518A24A2" w:rsidR="00545D9B" w:rsidRDefault="00545D9B" w:rsidP="00636C36">
      <w:pPr>
        <w:rPr>
          <w:rFonts w:cstheme="minorHAnsi"/>
          <w:lang w:val="fr-BE"/>
        </w:rPr>
      </w:pPr>
    </w:p>
    <w:sectPr w:rsidR="00545D9B" w:rsidSect="007F56B3">
      <w:footerReference w:type="default" r:id="rId10"/>
      <w:pgSz w:w="11906" w:h="16838"/>
      <w:pgMar w:top="1418" w:right="1418" w:bottom="567"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AD11" w14:textId="77777777" w:rsidR="0025608A" w:rsidRDefault="0025608A" w:rsidP="00081D67">
      <w:r>
        <w:separator/>
      </w:r>
    </w:p>
  </w:endnote>
  <w:endnote w:type="continuationSeparator" w:id="0">
    <w:p w14:paraId="0A326182" w14:textId="77777777" w:rsidR="0025608A" w:rsidRDefault="0025608A" w:rsidP="000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69C6" w14:textId="77777777" w:rsidR="0025608A" w:rsidRPr="00830EFD" w:rsidRDefault="0025608A" w:rsidP="00830EFD">
    <w:pPr>
      <w:pStyle w:val="Pieddepage"/>
      <w:tabs>
        <w:tab w:val="clear" w:pos="9072"/>
        <w:tab w:val="right" w:pos="9639"/>
      </w:tabs>
      <w:ind w:left="-709"/>
      <w:jc w:val="center"/>
      <w:rPr>
        <w:rFonts w:asciiTheme="minorHAnsi" w:hAnsiTheme="minorHAnsi"/>
        <w:b/>
        <w:color w:val="007434"/>
        <w:sz w:val="22"/>
        <w:szCs w:val="22"/>
      </w:rPr>
    </w:pPr>
    <w:r w:rsidRPr="00830EFD">
      <w:rPr>
        <w:rFonts w:asciiTheme="minorHAnsi" w:hAnsiTheme="minorHAnsi"/>
        <w:b/>
        <w:color w:val="007434"/>
        <w:sz w:val="22"/>
        <w:szCs w:val="22"/>
      </w:rPr>
      <w:t>ESPACE SOCIAL TELE-SERVICE asbl – Centre d’Action Sociale Globale</w:t>
    </w:r>
  </w:p>
  <w:p w14:paraId="6C38BF85" w14:textId="77777777" w:rsidR="0025608A" w:rsidRPr="00830EFD" w:rsidRDefault="0025608A" w:rsidP="00830EFD">
    <w:pPr>
      <w:pStyle w:val="Pieddepage"/>
      <w:tabs>
        <w:tab w:val="clear" w:pos="9072"/>
        <w:tab w:val="right" w:pos="9639"/>
      </w:tabs>
      <w:ind w:left="-709"/>
      <w:jc w:val="center"/>
      <w:rPr>
        <w:rFonts w:asciiTheme="minorHAnsi" w:hAnsiTheme="minorHAnsi"/>
        <w:b/>
        <w:color w:val="007434"/>
        <w:sz w:val="22"/>
        <w:szCs w:val="22"/>
      </w:rPr>
    </w:pPr>
    <w:r w:rsidRPr="00830EFD">
      <w:rPr>
        <w:rFonts w:asciiTheme="minorHAnsi" w:hAnsiTheme="minorHAnsi"/>
        <w:b/>
        <w:color w:val="007434"/>
        <w:sz w:val="22"/>
        <w:szCs w:val="22"/>
      </w:rPr>
      <w:t xml:space="preserve">Boulevard de l’Abattoir 28 – 1000 Bruxelles tél. 02/548.98.00 – fax 02/502.49.39 – mail </w:t>
    </w:r>
    <w:hyperlink r:id="rId1" w:history="1">
      <w:r w:rsidRPr="00830EFD">
        <w:rPr>
          <w:rStyle w:val="Lienhypertexte"/>
          <w:rFonts w:asciiTheme="minorHAnsi" w:hAnsiTheme="minorHAnsi"/>
          <w:b/>
          <w:color w:val="007434"/>
          <w:sz w:val="22"/>
          <w:szCs w:val="22"/>
        </w:rPr>
        <w:t>espacesocial@tele-service.be</w:t>
      </w:r>
    </w:hyperlink>
  </w:p>
  <w:p w14:paraId="5818556A" w14:textId="77777777" w:rsidR="0025608A" w:rsidRPr="00830EFD" w:rsidRDefault="0025608A" w:rsidP="00830EFD">
    <w:pPr>
      <w:pStyle w:val="Pieddepage"/>
      <w:tabs>
        <w:tab w:val="clear" w:pos="9072"/>
        <w:tab w:val="right" w:pos="9639"/>
      </w:tabs>
      <w:ind w:left="-709"/>
      <w:jc w:val="center"/>
      <w:rPr>
        <w:rFonts w:asciiTheme="minorHAnsi" w:hAnsiTheme="minorHAnsi"/>
        <w:color w:val="007434"/>
        <w:sz w:val="22"/>
        <w:szCs w:val="22"/>
      </w:rPr>
    </w:pPr>
    <w:r w:rsidRPr="00830EFD">
      <w:rPr>
        <w:rFonts w:asciiTheme="minorHAnsi" w:hAnsiTheme="minorHAnsi"/>
        <w:color w:val="007434"/>
        <w:sz w:val="22"/>
        <w:szCs w:val="22"/>
      </w:rPr>
      <w:t>Compte IBAN : BE62 2100 2049 7061 – Code BIC : GEBABEBB (Déductibilité fiscale à partir de 40 €)</w:t>
    </w:r>
  </w:p>
  <w:p w14:paraId="3891A657" w14:textId="77777777" w:rsidR="0025608A" w:rsidRPr="00830EFD" w:rsidRDefault="0025608A" w:rsidP="00830EFD">
    <w:pPr>
      <w:pStyle w:val="Pieddepage"/>
      <w:tabs>
        <w:tab w:val="clear" w:pos="9072"/>
        <w:tab w:val="right" w:pos="9639"/>
      </w:tabs>
      <w:ind w:left="-709"/>
      <w:jc w:val="center"/>
      <w:rPr>
        <w:rFonts w:asciiTheme="minorHAnsi" w:hAnsiTheme="minorHAnsi"/>
        <w:b/>
        <w:color w:val="007434"/>
        <w:sz w:val="22"/>
        <w:szCs w:val="22"/>
      </w:rPr>
    </w:pPr>
    <w:r w:rsidRPr="00830EFD">
      <w:rPr>
        <w:rFonts w:asciiTheme="minorHAnsi" w:hAnsiTheme="minorHAnsi"/>
        <w:b/>
        <w:color w:val="007434"/>
        <w:sz w:val="22"/>
        <w:szCs w:val="22"/>
      </w:rPr>
      <w:t>Agréé par la Commission Communautaire Française de Bruxelles-Capitale (</w:t>
    </w:r>
    <w:proofErr w:type="spellStart"/>
    <w:r w:rsidRPr="00830EFD">
      <w:rPr>
        <w:rFonts w:asciiTheme="minorHAnsi" w:hAnsiTheme="minorHAnsi"/>
        <w:b/>
        <w:color w:val="007434"/>
        <w:sz w:val="22"/>
        <w:szCs w:val="22"/>
      </w:rPr>
      <w:t>CoCoF</w:t>
    </w:r>
    <w:proofErr w:type="spellEnd"/>
    <w:r w:rsidRPr="00830EFD">
      <w:rPr>
        <w:rFonts w:asciiTheme="minorHAnsi" w:hAnsiTheme="minorHAnsi"/>
        <w:b/>
        <w:color w:val="007434"/>
        <w:sz w:val="22"/>
        <w:szCs w:val="22"/>
      </w:rPr>
      <w:t>)</w:t>
    </w:r>
  </w:p>
  <w:p w14:paraId="46A7217C" w14:textId="77777777" w:rsidR="0025608A" w:rsidRPr="00830EFD" w:rsidRDefault="0025608A" w:rsidP="00830EFD">
    <w:pPr>
      <w:pStyle w:val="Pieddepage"/>
      <w:tabs>
        <w:tab w:val="clear" w:pos="9072"/>
        <w:tab w:val="right" w:pos="9639"/>
      </w:tabs>
      <w:ind w:left="-709"/>
      <w:jc w:val="center"/>
      <w:rPr>
        <w:rFonts w:asciiTheme="minorHAnsi" w:hAnsiTheme="minorHAnsi"/>
        <w:color w:val="007434"/>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AF17B" w14:textId="77777777" w:rsidR="0025608A" w:rsidRDefault="0025608A" w:rsidP="00081D67">
      <w:r>
        <w:separator/>
      </w:r>
    </w:p>
  </w:footnote>
  <w:footnote w:type="continuationSeparator" w:id="0">
    <w:p w14:paraId="656F7808" w14:textId="77777777" w:rsidR="0025608A" w:rsidRDefault="0025608A" w:rsidP="00081D67">
      <w:r>
        <w:continuationSeparator/>
      </w:r>
    </w:p>
  </w:footnote>
  <w:footnote w:id="1">
    <w:p w14:paraId="2921603A" w14:textId="77777777" w:rsidR="00636C36" w:rsidRPr="00F4391A" w:rsidRDefault="00636C36" w:rsidP="00636C36">
      <w:pPr>
        <w:pStyle w:val="Notedebasdepage"/>
        <w:rPr>
          <w:lang w:val="fr-BE"/>
        </w:rPr>
      </w:pPr>
      <w:r>
        <w:rPr>
          <w:rStyle w:val="Appelnotedebasdep"/>
        </w:rPr>
        <w:footnoteRef/>
      </w:r>
      <w:r>
        <w:t xml:space="preserve"> </w:t>
      </w:r>
      <w:r w:rsidRPr="008738BA">
        <w:t>https://economie.fgov.be/sites/default/files/Files/Entreprises/Guidelines-solvabilite-credit-a-la-consommation.pdf</w:t>
      </w:r>
    </w:p>
  </w:footnote>
  <w:footnote w:id="2">
    <w:p w14:paraId="007553D6" w14:textId="77777777" w:rsidR="00636C36" w:rsidRPr="00636C36" w:rsidRDefault="00636C36" w:rsidP="00636C36">
      <w:pPr>
        <w:spacing w:before="100" w:beforeAutospacing="1" w:after="100" w:afterAutospacing="1"/>
        <w:rPr>
          <w:rFonts w:asciiTheme="minorHAnsi" w:hAnsiTheme="minorHAnsi" w:cstheme="minorHAnsi"/>
          <w:sz w:val="20"/>
          <w:szCs w:val="20"/>
          <w:lang w:val="fr-BE"/>
        </w:rPr>
      </w:pPr>
      <w:r>
        <w:rPr>
          <w:rStyle w:val="Appelnotedebasdep"/>
        </w:rPr>
        <w:footnoteRef/>
      </w:r>
      <w:r w:rsidRPr="004F21BA">
        <w:rPr>
          <w:lang w:val="fr-BE"/>
        </w:rPr>
        <w:t xml:space="preserve"> </w:t>
      </w:r>
      <w:r w:rsidRPr="00636C36">
        <w:rPr>
          <w:rFonts w:asciiTheme="minorHAnsi" w:hAnsiTheme="minorHAnsi" w:cstheme="minorHAnsi"/>
          <w:sz w:val="20"/>
          <w:szCs w:val="20"/>
          <w:lang w:val="fr-BE"/>
        </w:rPr>
        <w:t xml:space="preserve">Le remboursement de crédits antérieurs comme un signal qui doit alerter le prêteur : </w:t>
      </w:r>
      <w:proofErr w:type="spellStart"/>
      <w:r w:rsidRPr="00636C36">
        <w:rPr>
          <w:rFonts w:asciiTheme="minorHAnsi" w:hAnsiTheme="minorHAnsi" w:cstheme="minorHAnsi"/>
          <w:sz w:val="20"/>
          <w:szCs w:val="20"/>
          <w:lang w:val="fr-BE"/>
        </w:rPr>
        <w:t>Civ</w:t>
      </w:r>
      <w:proofErr w:type="spellEnd"/>
      <w:r w:rsidRPr="00636C36">
        <w:rPr>
          <w:rFonts w:asciiTheme="minorHAnsi" w:hAnsiTheme="minorHAnsi" w:cstheme="minorHAnsi"/>
          <w:sz w:val="20"/>
          <w:szCs w:val="20"/>
          <w:lang w:val="fr-BE"/>
        </w:rPr>
        <w:t xml:space="preserve">. Courtrai (2ème ch.), 11 septembre 1998, D.C.C.R., 1999, n°42, p.73 ; Ann. Crédit, 1998, p. 95 </w:t>
      </w:r>
      <w:proofErr w:type="gramStart"/>
      <w:r w:rsidRPr="00636C36">
        <w:rPr>
          <w:rFonts w:asciiTheme="minorHAnsi" w:hAnsiTheme="minorHAnsi" w:cstheme="minorHAnsi"/>
          <w:sz w:val="20"/>
          <w:szCs w:val="20"/>
          <w:lang w:val="fr-BE"/>
        </w:rPr>
        <w:t>;  J.P.</w:t>
      </w:r>
      <w:proofErr w:type="gramEnd"/>
      <w:r w:rsidRPr="00636C36">
        <w:rPr>
          <w:rFonts w:asciiTheme="minorHAnsi" w:hAnsiTheme="minorHAnsi" w:cstheme="minorHAnsi"/>
          <w:sz w:val="20"/>
          <w:szCs w:val="20"/>
          <w:lang w:val="fr-BE"/>
        </w:rPr>
        <w:t xml:space="preserve"> Landen, 28 juin 2000, Ann. Crédit, 2000, p. 41 </w:t>
      </w:r>
      <w:proofErr w:type="gramStart"/>
      <w:r w:rsidRPr="00636C36">
        <w:rPr>
          <w:rFonts w:asciiTheme="minorHAnsi" w:hAnsiTheme="minorHAnsi" w:cstheme="minorHAnsi"/>
          <w:sz w:val="20"/>
          <w:szCs w:val="20"/>
          <w:lang w:val="fr-BE"/>
        </w:rPr>
        <w:t>;  J.P.</w:t>
      </w:r>
      <w:proofErr w:type="gramEnd"/>
      <w:r w:rsidRPr="00636C36">
        <w:rPr>
          <w:rFonts w:asciiTheme="minorHAnsi" w:hAnsiTheme="minorHAnsi" w:cstheme="minorHAnsi"/>
          <w:sz w:val="20"/>
          <w:szCs w:val="20"/>
          <w:lang w:val="fr-BE"/>
        </w:rPr>
        <w:t xml:space="preserve"> Waregem, 2 décembre 2003, Ann. Crédit, 2003, p. 48 ; J.P. Audenarde, 15 janvier 2001 et sur appel, </w:t>
      </w:r>
      <w:proofErr w:type="spellStart"/>
      <w:r w:rsidRPr="00636C36">
        <w:rPr>
          <w:rFonts w:asciiTheme="minorHAnsi" w:hAnsiTheme="minorHAnsi" w:cstheme="minorHAnsi"/>
          <w:sz w:val="20"/>
          <w:szCs w:val="20"/>
          <w:lang w:val="fr-BE"/>
        </w:rPr>
        <w:t>Civ</w:t>
      </w:r>
      <w:proofErr w:type="spellEnd"/>
      <w:r w:rsidRPr="00636C36">
        <w:rPr>
          <w:rFonts w:asciiTheme="minorHAnsi" w:hAnsiTheme="minorHAnsi" w:cstheme="minorHAnsi"/>
          <w:sz w:val="20"/>
          <w:szCs w:val="20"/>
          <w:lang w:val="fr-BE"/>
        </w:rPr>
        <w:t xml:space="preserve">. Audenarde, 4 décembre 2002, Ann. Crédit, 2002, p. 94 ; R.W., 2003-2004, p. </w:t>
      </w:r>
      <w:proofErr w:type="gramStart"/>
      <w:r w:rsidRPr="00636C36">
        <w:rPr>
          <w:rFonts w:asciiTheme="minorHAnsi" w:hAnsiTheme="minorHAnsi" w:cstheme="minorHAnsi"/>
          <w:sz w:val="20"/>
          <w:szCs w:val="20"/>
          <w:lang w:val="fr-BE"/>
        </w:rPr>
        <w:t>1031;</w:t>
      </w:r>
      <w:proofErr w:type="gramEnd"/>
      <w:r w:rsidRPr="00207AF0">
        <w:rPr>
          <w:lang w:val="fr-BE"/>
        </w:rPr>
        <w:t xml:space="preserve"> </w:t>
      </w:r>
      <w:proofErr w:type="spellStart"/>
      <w:r w:rsidRPr="00636C36">
        <w:rPr>
          <w:rFonts w:asciiTheme="minorHAnsi" w:hAnsiTheme="minorHAnsi" w:cstheme="minorHAnsi"/>
          <w:sz w:val="20"/>
          <w:szCs w:val="20"/>
          <w:lang w:val="fr-BE"/>
        </w:rPr>
        <w:t>Civ</w:t>
      </w:r>
      <w:proofErr w:type="spellEnd"/>
      <w:r w:rsidRPr="00636C36">
        <w:rPr>
          <w:rFonts w:asciiTheme="minorHAnsi" w:hAnsiTheme="minorHAnsi" w:cstheme="minorHAnsi"/>
          <w:sz w:val="20"/>
          <w:szCs w:val="20"/>
          <w:lang w:val="fr-BE"/>
        </w:rPr>
        <w:t>. Anvers,</w:t>
      </w:r>
      <w:r w:rsidRPr="00207AF0">
        <w:rPr>
          <w:lang w:val="fr-BE"/>
        </w:rPr>
        <w:t xml:space="preserve"> </w:t>
      </w:r>
      <w:r w:rsidRPr="00636C36">
        <w:rPr>
          <w:rFonts w:asciiTheme="minorHAnsi" w:hAnsiTheme="minorHAnsi" w:cstheme="minorHAnsi"/>
          <w:sz w:val="20"/>
          <w:szCs w:val="20"/>
          <w:lang w:val="fr-BE"/>
        </w:rPr>
        <w:t xml:space="preserve">15 novembre 2002, Ann. Crédit 2002, </w:t>
      </w:r>
      <w:proofErr w:type="gramStart"/>
      <w:r w:rsidRPr="00636C36">
        <w:rPr>
          <w:rFonts w:asciiTheme="minorHAnsi" w:hAnsiTheme="minorHAnsi" w:cstheme="minorHAnsi"/>
          <w:sz w:val="20"/>
          <w:szCs w:val="20"/>
          <w:lang w:val="fr-BE"/>
        </w:rPr>
        <w:t>110;</w:t>
      </w:r>
      <w:proofErr w:type="gramEnd"/>
      <w:r w:rsidRPr="00636C36">
        <w:rPr>
          <w:rFonts w:asciiTheme="minorHAnsi" w:hAnsiTheme="minorHAnsi" w:cstheme="minorHAnsi"/>
          <w:sz w:val="20"/>
          <w:szCs w:val="20"/>
          <w:lang w:val="fr-BE"/>
        </w:rPr>
        <w:t xml:space="preserve"> J.P. Courtrai (1</w:t>
      </w:r>
      <w:r w:rsidRPr="00636C36">
        <w:rPr>
          <w:rFonts w:asciiTheme="minorHAnsi" w:hAnsiTheme="minorHAnsi" w:cstheme="minorHAnsi"/>
          <w:sz w:val="20"/>
          <w:szCs w:val="20"/>
          <w:vertAlign w:val="superscript"/>
          <w:lang w:val="fr-BE"/>
        </w:rPr>
        <w:t>er</w:t>
      </w:r>
      <w:r w:rsidRPr="00636C36">
        <w:rPr>
          <w:rFonts w:asciiTheme="minorHAnsi" w:hAnsiTheme="minorHAnsi" w:cstheme="minorHAnsi"/>
          <w:sz w:val="20"/>
          <w:szCs w:val="20"/>
          <w:lang w:val="fr-BE"/>
        </w:rPr>
        <w:t xml:space="preserve"> Cant.), 22 janvier 2014, </w:t>
      </w:r>
      <w:r w:rsidRPr="00636C36">
        <w:rPr>
          <w:rFonts w:asciiTheme="minorHAnsi" w:hAnsiTheme="minorHAnsi" w:cstheme="minorHAnsi"/>
          <w:i/>
          <w:iCs/>
          <w:sz w:val="20"/>
          <w:szCs w:val="20"/>
          <w:lang w:val="fr-BE"/>
        </w:rPr>
        <w:t xml:space="preserve">Ann. </w:t>
      </w:r>
      <w:proofErr w:type="spellStart"/>
      <w:r w:rsidRPr="00636C36">
        <w:rPr>
          <w:rFonts w:asciiTheme="minorHAnsi" w:hAnsiTheme="minorHAnsi" w:cstheme="minorHAnsi"/>
          <w:i/>
          <w:iCs/>
          <w:sz w:val="20"/>
          <w:szCs w:val="20"/>
          <w:lang w:val="fr-BE"/>
        </w:rPr>
        <w:t>Jur</w:t>
      </w:r>
      <w:proofErr w:type="spellEnd"/>
      <w:r w:rsidRPr="00636C36">
        <w:rPr>
          <w:rFonts w:asciiTheme="minorHAnsi" w:hAnsiTheme="minorHAnsi" w:cstheme="minorHAnsi"/>
          <w:i/>
          <w:iCs/>
          <w:sz w:val="20"/>
          <w:szCs w:val="20"/>
          <w:lang w:val="fr-BE"/>
        </w:rPr>
        <w:t>.</w:t>
      </w:r>
      <w:r w:rsidRPr="00636C36">
        <w:rPr>
          <w:rFonts w:asciiTheme="minorHAnsi" w:hAnsiTheme="minorHAnsi" w:cstheme="minorHAnsi"/>
          <w:sz w:val="20"/>
          <w:szCs w:val="20"/>
          <w:lang w:val="fr-BE"/>
        </w:rPr>
        <w:t xml:space="preserve"> 2014, p. </w:t>
      </w:r>
      <w:proofErr w:type="gramStart"/>
      <w:r w:rsidRPr="00636C36">
        <w:rPr>
          <w:rFonts w:asciiTheme="minorHAnsi" w:hAnsiTheme="minorHAnsi" w:cstheme="minorHAnsi"/>
          <w:sz w:val="20"/>
          <w:szCs w:val="20"/>
          <w:lang w:val="fr-BE"/>
        </w:rPr>
        <w:t>66;</w:t>
      </w:r>
      <w:proofErr w:type="gramEnd"/>
    </w:p>
    <w:p w14:paraId="06131C7F" w14:textId="442AA22C" w:rsidR="00636C36" w:rsidRPr="004F21BA" w:rsidRDefault="00636C36" w:rsidP="00636C36">
      <w:pPr>
        <w:spacing w:before="100" w:beforeAutospacing="1" w:after="100" w:afterAutospacing="1"/>
        <w:rPr>
          <w:lang w:val="fr-BE"/>
        </w:rPr>
      </w:pPr>
      <w:r w:rsidRPr="00636C36">
        <w:rPr>
          <w:rFonts w:asciiTheme="minorHAnsi" w:hAnsiTheme="minorHAnsi" w:cstheme="minorHAnsi"/>
          <w:sz w:val="20"/>
          <w:szCs w:val="20"/>
          <w:lang w:val="fr-BE"/>
        </w:rPr>
        <w:t xml:space="preserve">Le prêteur doit être alors deux fois plus prudent : J.P. Oostrozebeke, 31 mars 1998, Ann. Crédit, 1998, p. </w:t>
      </w:r>
      <w:proofErr w:type="gramStart"/>
      <w:r w:rsidRPr="00636C36">
        <w:rPr>
          <w:rFonts w:asciiTheme="minorHAnsi" w:hAnsiTheme="minorHAnsi" w:cstheme="minorHAnsi"/>
          <w:sz w:val="20"/>
          <w:szCs w:val="20"/>
          <w:lang w:val="fr-BE"/>
        </w:rPr>
        <w:t>106;</w:t>
      </w:r>
      <w:proofErr w:type="gramEnd"/>
      <w:r w:rsidRPr="00636C36">
        <w:rPr>
          <w:rFonts w:asciiTheme="minorHAnsi" w:hAnsiTheme="minorHAnsi" w:cstheme="minorHAnsi"/>
          <w:sz w:val="20"/>
          <w:szCs w:val="20"/>
          <w:lang w:val="fr-BE"/>
        </w:rPr>
        <w:t xml:space="preserve"> J.P. St </w:t>
      </w:r>
      <w:proofErr w:type="spellStart"/>
      <w:r w:rsidRPr="00636C36">
        <w:rPr>
          <w:rFonts w:asciiTheme="minorHAnsi" w:hAnsiTheme="minorHAnsi" w:cstheme="minorHAnsi"/>
          <w:sz w:val="20"/>
          <w:szCs w:val="20"/>
          <w:lang w:val="fr-BE"/>
        </w:rPr>
        <w:t>Niklaas</w:t>
      </w:r>
      <w:proofErr w:type="spellEnd"/>
      <w:r w:rsidRPr="00636C36">
        <w:rPr>
          <w:rFonts w:asciiTheme="minorHAnsi" w:hAnsiTheme="minorHAnsi" w:cstheme="minorHAnsi"/>
          <w:sz w:val="20"/>
          <w:szCs w:val="20"/>
          <w:lang w:val="fr-BE"/>
        </w:rPr>
        <w:t xml:space="preserve">, 28 mars 2001, Ann. Crédit, 2001, p. 124 ; J. P. Grâce-Hollogne, 13 février 2001, Ann. </w:t>
      </w:r>
      <w:r w:rsidRPr="00636C36">
        <w:rPr>
          <w:rFonts w:asciiTheme="minorHAnsi" w:hAnsiTheme="minorHAnsi" w:cstheme="minorHAnsi"/>
          <w:sz w:val="20"/>
          <w:szCs w:val="20"/>
          <w:lang w:val="nl-BE"/>
        </w:rPr>
        <w:t>Crédit, 2001, p. 176; J. P. Grâce-Hollogne, 20 février 2001, Ann. Créd</w:t>
      </w:r>
      <w:bookmarkStart w:id="1" w:name="_GoBack"/>
      <w:bookmarkEnd w:id="1"/>
      <w:r w:rsidRPr="00636C36">
        <w:rPr>
          <w:rFonts w:asciiTheme="minorHAnsi" w:hAnsiTheme="minorHAnsi" w:cstheme="minorHAnsi"/>
          <w:sz w:val="20"/>
          <w:szCs w:val="20"/>
          <w:lang w:val="nl-BE"/>
        </w:rPr>
        <w:t xml:space="preserve">it, 2001, p. 184; Sur le devoir de prudence redoublée: T.VAN DYCK, « De aansprakelijkheid van de kredietgever en kredietbemiddelaar in gevallen van herfinanciering of saldering van consumentenkrediet – Het criterium van de « dubbele voorzichtigheid » note sub Civ. </w:t>
      </w:r>
      <w:r w:rsidRPr="00636C36">
        <w:rPr>
          <w:rFonts w:asciiTheme="minorHAnsi" w:hAnsiTheme="minorHAnsi" w:cstheme="minorHAnsi"/>
          <w:sz w:val="20"/>
          <w:szCs w:val="20"/>
          <w:lang w:val="fr-BE"/>
        </w:rPr>
        <w:t xml:space="preserve">Anvers, 15 novembre 2002, D.C.C.R., 2003, p. 60 ; J.P. Gand, 18 décembre 1997, J.J.P., 1998, p. </w:t>
      </w:r>
      <w:proofErr w:type="gramStart"/>
      <w:r w:rsidRPr="00636C36">
        <w:rPr>
          <w:rFonts w:asciiTheme="minorHAnsi" w:hAnsiTheme="minorHAnsi" w:cstheme="minorHAnsi"/>
          <w:sz w:val="20"/>
          <w:szCs w:val="20"/>
          <w:lang w:val="fr-BE"/>
        </w:rPr>
        <w:t>571;</w:t>
      </w:r>
      <w:proofErr w:type="gramEnd"/>
      <w:r w:rsidRPr="00636C36">
        <w:rPr>
          <w:rFonts w:asciiTheme="minorHAnsi" w:hAnsiTheme="minorHAnsi" w:cstheme="minorHAnsi"/>
          <w:sz w:val="20"/>
          <w:szCs w:val="20"/>
          <w:lang w:val="fr-BE"/>
        </w:rPr>
        <w:t xml:space="preserve"> J.P. Grâce-Hollogne, 17 janvier 2012, </w:t>
      </w:r>
      <w:proofErr w:type="spellStart"/>
      <w:r w:rsidRPr="00636C36">
        <w:rPr>
          <w:rFonts w:asciiTheme="minorHAnsi" w:hAnsiTheme="minorHAnsi" w:cstheme="minorHAnsi"/>
          <w:i/>
          <w:iCs/>
          <w:sz w:val="20"/>
          <w:szCs w:val="20"/>
          <w:lang w:val="fr-BE"/>
        </w:rPr>
        <w:t>Ann.Jur</w:t>
      </w:r>
      <w:proofErr w:type="spellEnd"/>
      <w:r w:rsidRPr="00636C36">
        <w:rPr>
          <w:rFonts w:asciiTheme="minorHAnsi" w:hAnsiTheme="minorHAnsi" w:cstheme="minorHAnsi"/>
          <w:i/>
          <w:iCs/>
          <w:sz w:val="20"/>
          <w:szCs w:val="20"/>
          <w:lang w:val="fr-BE"/>
        </w:rPr>
        <w:t>.</w:t>
      </w:r>
      <w:r w:rsidRPr="00636C36">
        <w:rPr>
          <w:rFonts w:asciiTheme="minorHAnsi" w:hAnsiTheme="minorHAnsi" w:cstheme="minorHAnsi"/>
          <w:sz w:val="20"/>
          <w:szCs w:val="20"/>
          <w:lang w:val="fr-BE"/>
        </w:rPr>
        <w:t xml:space="preserve"> 2012, p. </w:t>
      </w:r>
      <w:proofErr w:type="gramStart"/>
      <w:r w:rsidRPr="00636C36">
        <w:rPr>
          <w:rFonts w:asciiTheme="minorHAnsi" w:hAnsiTheme="minorHAnsi" w:cstheme="minorHAnsi"/>
          <w:sz w:val="20"/>
          <w:szCs w:val="20"/>
          <w:lang w:val="fr-BE"/>
        </w:rPr>
        <w:t>42;  J.P.</w:t>
      </w:r>
      <w:proofErr w:type="gramEnd"/>
      <w:r w:rsidRPr="00636C36">
        <w:rPr>
          <w:rFonts w:asciiTheme="minorHAnsi" w:hAnsiTheme="minorHAnsi" w:cstheme="minorHAnsi"/>
          <w:sz w:val="20"/>
          <w:szCs w:val="20"/>
          <w:lang w:val="fr-BE"/>
        </w:rPr>
        <w:t xml:space="preserve"> Grâce-Hollogne, 9 décembre 2014, </w:t>
      </w:r>
      <w:r w:rsidRPr="00636C36">
        <w:rPr>
          <w:rFonts w:asciiTheme="minorHAnsi" w:hAnsiTheme="minorHAnsi" w:cstheme="minorHAnsi"/>
          <w:i/>
          <w:iCs/>
          <w:sz w:val="20"/>
          <w:szCs w:val="20"/>
          <w:lang w:val="fr-BE"/>
        </w:rPr>
        <w:t xml:space="preserve">Ann. </w:t>
      </w:r>
      <w:proofErr w:type="spellStart"/>
      <w:r w:rsidRPr="00636C36">
        <w:rPr>
          <w:rFonts w:asciiTheme="minorHAnsi" w:hAnsiTheme="minorHAnsi" w:cstheme="minorHAnsi"/>
          <w:i/>
          <w:iCs/>
          <w:sz w:val="20"/>
          <w:szCs w:val="20"/>
          <w:lang w:val="fr-BE"/>
        </w:rPr>
        <w:t>Jur</w:t>
      </w:r>
      <w:proofErr w:type="spellEnd"/>
      <w:r w:rsidRPr="00636C36">
        <w:rPr>
          <w:rFonts w:asciiTheme="minorHAnsi" w:hAnsiTheme="minorHAnsi" w:cstheme="minorHAnsi"/>
          <w:i/>
          <w:iCs/>
          <w:sz w:val="20"/>
          <w:szCs w:val="20"/>
          <w:lang w:val="fr-BE"/>
        </w:rPr>
        <w:t>.</w:t>
      </w:r>
      <w:r w:rsidRPr="00636C36">
        <w:rPr>
          <w:rFonts w:asciiTheme="minorHAnsi" w:hAnsiTheme="minorHAnsi" w:cstheme="minorHAnsi"/>
          <w:sz w:val="20"/>
          <w:szCs w:val="20"/>
          <w:lang w:val="fr-BE"/>
        </w:rPr>
        <w:t xml:space="preserve"> p. 77.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574A6"/>
    <w:multiLevelType w:val="hybridMultilevel"/>
    <w:tmpl w:val="5240D138"/>
    <w:lvl w:ilvl="0" w:tplc="EED402F2">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1D068AD"/>
    <w:multiLevelType w:val="multilevel"/>
    <w:tmpl w:val="EEFC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34AD2"/>
    <w:multiLevelType w:val="hybridMultilevel"/>
    <w:tmpl w:val="25B625AE"/>
    <w:lvl w:ilvl="0" w:tplc="EDF69D9E">
      <w:start w:val="7"/>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o:colormenu v:ext="edit" fillcolor="#007434" strokecolor="#0074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67"/>
    <w:rsid w:val="00013F43"/>
    <w:rsid w:val="00081D67"/>
    <w:rsid w:val="00162350"/>
    <w:rsid w:val="00194DBA"/>
    <w:rsid w:val="001E55F7"/>
    <w:rsid w:val="0025608A"/>
    <w:rsid w:val="0036053F"/>
    <w:rsid w:val="003B0C97"/>
    <w:rsid w:val="00432E2B"/>
    <w:rsid w:val="00545D9B"/>
    <w:rsid w:val="00636C36"/>
    <w:rsid w:val="006B02FC"/>
    <w:rsid w:val="00747B3C"/>
    <w:rsid w:val="007F56B3"/>
    <w:rsid w:val="00830EFD"/>
    <w:rsid w:val="0084582E"/>
    <w:rsid w:val="0091700A"/>
    <w:rsid w:val="00952430"/>
    <w:rsid w:val="009E2072"/>
    <w:rsid w:val="009E7256"/>
    <w:rsid w:val="00D5322F"/>
    <w:rsid w:val="00DA2106"/>
    <w:rsid w:val="00DB6AAE"/>
    <w:rsid w:val="00E06841"/>
    <w:rsid w:val="00FD07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007434" strokecolor="#007434"/>
    </o:shapedefaults>
    <o:shapelayout v:ext="edit">
      <o:idmap v:ext="edit" data="1"/>
    </o:shapelayout>
  </w:shapeDefaults>
  <w:decimalSymbol w:val=","/>
  <w:listSeparator w:val=";"/>
  <w14:docId w14:val="34A20814"/>
  <w15:docId w15:val="{4CB1DED7-0DF7-4091-99D6-23341EB8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6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81D67"/>
    <w:pPr>
      <w:tabs>
        <w:tab w:val="center" w:pos="4536"/>
        <w:tab w:val="right" w:pos="9072"/>
      </w:tabs>
    </w:pPr>
  </w:style>
  <w:style w:type="character" w:customStyle="1" w:styleId="En-tteCar">
    <w:name w:val="En-tête Car"/>
    <w:basedOn w:val="Policepardfaut"/>
    <w:link w:val="En-tte"/>
    <w:uiPriority w:val="99"/>
    <w:semiHidden/>
    <w:rsid w:val="00081D6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1D67"/>
    <w:pPr>
      <w:tabs>
        <w:tab w:val="center" w:pos="4536"/>
        <w:tab w:val="right" w:pos="9072"/>
      </w:tabs>
    </w:pPr>
  </w:style>
  <w:style w:type="character" w:customStyle="1" w:styleId="PieddepageCar">
    <w:name w:val="Pied de page Car"/>
    <w:basedOn w:val="Policepardfaut"/>
    <w:link w:val="Pieddepage"/>
    <w:uiPriority w:val="99"/>
    <w:rsid w:val="00081D6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81D67"/>
    <w:rPr>
      <w:rFonts w:ascii="Tahoma" w:hAnsi="Tahoma" w:cs="Tahoma"/>
      <w:sz w:val="16"/>
      <w:szCs w:val="16"/>
    </w:rPr>
  </w:style>
  <w:style w:type="character" w:customStyle="1" w:styleId="TextedebullesCar">
    <w:name w:val="Texte de bulles Car"/>
    <w:basedOn w:val="Policepardfaut"/>
    <w:link w:val="Textedebulles"/>
    <w:uiPriority w:val="99"/>
    <w:semiHidden/>
    <w:rsid w:val="00081D67"/>
    <w:rPr>
      <w:rFonts w:ascii="Tahoma" w:eastAsia="Times New Roman" w:hAnsi="Tahoma" w:cs="Tahoma"/>
      <w:sz w:val="16"/>
      <w:szCs w:val="16"/>
      <w:lang w:eastAsia="fr-FR"/>
    </w:rPr>
  </w:style>
  <w:style w:type="character" w:styleId="Lienhypertexte">
    <w:name w:val="Hyperlink"/>
    <w:basedOn w:val="Policepardfaut"/>
    <w:uiPriority w:val="99"/>
    <w:unhideWhenUsed/>
    <w:rsid w:val="00830EFD"/>
    <w:rPr>
      <w:color w:val="0000FF" w:themeColor="hyperlink"/>
      <w:u w:val="single"/>
    </w:rPr>
  </w:style>
  <w:style w:type="paragraph" w:styleId="Sansinterligne">
    <w:name w:val="No Spacing"/>
    <w:uiPriority w:val="1"/>
    <w:qFormat/>
    <w:rsid w:val="007F56B3"/>
    <w:pPr>
      <w:spacing w:after="0" w:line="240" w:lineRule="auto"/>
    </w:pPr>
    <w:rPr>
      <w:rFonts w:eastAsiaTheme="minorEastAsia"/>
      <w:lang w:val="fr-BE" w:eastAsia="fr-BE"/>
    </w:rPr>
  </w:style>
  <w:style w:type="paragraph" w:styleId="Paragraphedeliste">
    <w:name w:val="List Paragraph"/>
    <w:basedOn w:val="Normal"/>
    <w:uiPriority w:val="34"/>
    <w:qFormat/>
    <w:rsid w:val="007F56B3"/>
    <w:pPr>
      <w:spacing w:after="200" w:line="276" w:lineRule="auto"/>
      <w:ind w:left="720"/>
      <w:contextualSpacing/>
    </w:pPr>
    <w:rPr>
      <w:rFonts w:asciiTheme="minorHAnsi" w:eastAsiaTheme="minorEastAsia" w:hAnsiTheme="minorHAnsi" w:cstheme="minorBidi"/>
      <w:sz w:val="22"/>
      <w:szCs w:val="22"/>
      <w:lang w:val="fr-BE" w:eastAsia="fr-BE"/>
    </w:rPr>
  </w:style>
  <w:style w:type="character" w:styleId="Accentuation">
    <w:name w:val="Emphasis"/>
    <w:basedOn w:val="Policepardfaut"/>
    <w:uiPriority w:val="20"/>
    <w:qFormat/>
    <w:rsid w:val="00636C36"/>
    <w:rPr>
      <w:i/>
      <w:iCs/>
    </w:rPr>
  </w:style>
  <w:style w:type="paragraph" w:styleId="Notedebasdepage">
    <w:name w:val="footnote text"/>
    <w:basedOn w:val="Normal"/>
    <w:link w:val="NotedebasdepageCar"/>
    <w:uiPriority w:val="99"/>
    <w:semiHidden/>
    <w:unhideWhenUsed/>
    <w:rsid w:val="00636C36"/>
    <w:rPr>
      <w:rFonts w:asciiTheme="minorHAnsi" w:eastAsiaTheme="minorHAnsi" w:hAnsiTheme="minorHAnsi" w:cstheme="minorBidi"/>
      <w:sz w:val="20"/>
      <w:szCs w:val="20"/>
      <w:lang w:val="en-US" w:eastAsia="en-US"/>
    </w:rPr>
  </w:style>
  <w:style w:type="character" w:customStyle="1" w:styleId="NotedebasdepageCar">
    <w:name w:val="Note de bas de page Car"/>
    <w:basedOn w:val="Policepardfaut"/>
    <w:link w:val="Notedebasdepage"/>
    <w:uiPriority w:val="99"/>
    <w:semiHidden/>
    <w:rsid w:val="00636C36"/>
    <w:rPr>
      <w:sz w:val="20"/>
      <w:szCs w:val="20"/>
      <w:lang w:val="en-US"/>
    </w:rPr>
  </w:style>
  <w:style w:type="character" w:styleId="Appelnotedebasdep">
    <w:name w:val="footnote reference"/>
    <w:basedOn w:val="Policepardfaut"/>
    <w:uiPriority w:val="99"/>
    <w:semiHidden/>
    <w:unhideWhenUsed/>
    <w:rsid w:val="00636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espacesocial@tele-servic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ECA25-F989-4ADA-B4F1-2870A82D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6729</Characters>
  <Application>Microsoft Office Word</Application>
  <DocSecurity>4</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d'helt</dc:creator>
  <cp:lastModifiedBy>Simon</cp:lastModifiedBy>
  <cp:revision>2</cp:revision>
  <dcterms:created xsi:type="dcterms:W3CDTF">2022-04-05T13:31:00Z</dcterms:created>
  <dcterms:modified xsi:type="dcterms:W3CDTF">2022-04-05T13:31:00Z</dcterms:modified>
</cp:coreProperties>
</file>